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1931" w14:textId="0135D4E2" w:rsidR="003A2DD7" w:rsidRPr="000E66D9" w:rsidRDefault="003A2DD7" w:rsidP="00CD3325">
      <w:pPr>
        <w:spacing w:after="240"/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</w:pPr>
      <w:r w:rsidRPr="000E66D9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 xml:space="preserve">FY 2022 </w:t>
      </w:r>
      <w:r w:rsidR="000972E1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 xml:space="preserve">Per Diem </w:t>
      </w:r>
      <w:r w:rsidRPr="000E66D9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>Highlights</w:t>
      </w:r>
    </w:p>
    <w:p w14:paraId="4EF8FB70" w14:textId="7A215E26" w:rsidR="00474EF8" w:rsidRPr="002B7918" w:rsidRDefault="00474EF8" w:rsidP="00CD3325">
      <w:pPr>
        <w:pStyle w:val="NormalWeb"/>
        <w:spacing w:before="0" w:beforeAutospacing="0" w:after="240" w:afterAutospacing="0" w:line="276" w:lineRule="auto"/>
        <w:rPr>
          <w:rFonts w:ascii="Helvetica" w:hAnsi="Helvetica" w:cs="Helvetica"/>
          <w:color w:val="333333"/>
        </w:rPr>
      </w:pPr>
      <w:r w:rsidRPr="002B7918">
        <w:rPr>
          <w:rFonts w:ascii="Helvetica" w:hAnsi="Helvetica" w:cs="Helvetica"/>
          <w:color w:val="333333"/>
        </w:rPr>
        <w:t xml:space="preserve">GSA establishes the per diem rates for the </w:t>
      </w:r>
      <w:r w:rsidR="000972E1">
        <w:rPr>
          <w:rFonts w:ascii="Helvetica" w:hAnsi="Helvetica" w:cs="Helvetica"/>
          <w:color w:val="333333"/>
        </w:rPr>
        <w:t>c</w:t>
      </w:r>
      <w:r w:rsidRPr="002B7918">
        <w:rPr>
          <w:rFonts w:ascii="Helvetica" w:hAnsi="Helvetica" w:cs="Helvetica"/>
          <w:color w:val="333333"/>
        </w:rPr>
        <w:t xml:space="preserve">ontinental United States (CONUS), which includes the 48 contiguous states and the District of Columbia. </w:t>
      </w:r>
      <w:r w:rsidR="002C4E22" w:rsidRPr="002C4E22">
        <w:rPr>
          <w:rFonts w:ascii="Helvetica" w:hAnsi="Helvetica" w:cs="Helvetica"/>
          <w:color w:val="333333"/>
        </w:rPr>
        <w:t xml:space="preserve">Federal agencies use </w:t>
      </w:r>
      <w:r w:rsidR="002C4E22">
        <w:rPr>
          <w:rFonts w:ascii="Helvetica" w:hAnsi="Helvetica" w:cs="Helvetica"/>
          <w:color w:val="333333"/>
        </w:rPr>
        <w:t>the per diem rates to</w:t>
      </w:r>
      <w:r w:rsidR="002C4E22" w:rsidRPr="002C4E22">
        <w:rPr>
          <w:rFonts w:ascii="Helvetica" w:hAnsi="Helvetica" w:cs="Helvetica"/>
          <w:color w:val="333333"/>
        </w:rPr>
        <w:t xml:space="preserve"> reimburse their employees for subsistence expenses incurred while on official travel</w:t>
      </w:r>
      <w:r w:rsidR="002C4E22">
        <w:rPr>
          <w:rFonts w:ascii="Helvetica" w:hAnsi="Helvetica" w:cs="Helvetica"/>
          <w:color w:val="333333"/>
        </w:rPr>
        <w:t>.</w:t>
      </w:r>
    </w:p>
    <w:p w14:paraId="40D2E1A2" w14:textId="77777777" w:rsidR="00474EF8" w:rsidRPr="002B7918" w:rsidRDefault="00474EF8" w:rsidP="00CD3325">
      <w:pPr>
        <w:pStyle w:val="NormalWeb"/>
        <w:spacing w:before="0" w:beforeAutospacing="0" w:after="240" w:afterAutospacing="0" w:line="276" w:lineRule="auto"/>
        <w:rPr>
          <w:rFonts w:ascii="Helvetica" w:hAnsi="Helvetica" w:cs="Helvetica"/>
          <w:color w:val="333333"/>
        </w:rPr>
      </w:pPr>
      <w:r w:rsidRPr="002B7918">
        <w:rPr>
          <w:rFonts w:ascii="Helvetica" w:hAnsi="Helvetica" w:cs="Helvetica"/>
          <w:color w:val="333333"/>
        </w:rPr>
        <w:t>Federal per diem reimbursement rates consist of a maximum lodging allowance component and a meals and incidental expenses (M&amp;IE) component. Most of CONUS (approximately 2600 counties) is covered by the standard per diem rate of $155 ($96 lodging, $59 M&amp;IE). In fiscal year (FY) 2022, there are 319 non-standard areas (NSAs) that have per diem rates higher than the standard rate.</w:t>
      </w:r>
    </w:p>
    <w:p w14:paraId="7526CFE7" w14:textId="46332F17" w:rsidR="00474EF8" w:rsidRPr="002B7918" w:rsidRDefault="00474EF8" w:rsidP="00CD3325">
      <w:pPr>
        <w:pStyle w:val="NormalWeb"/>
        <w:spacing w:before="0" w:beforeAutospacing="0" w:after="240" w:afterAutospacing="0" w:line="276" w:lineRule="auto"/>
        <w:rPr>
          <w:rFonts w:ascii="Helvetica" w:hAnsi="Helvetica" w:cs="Helvetica"/>
          <w:color w:val="333333"/>
        </w:rPr>
      </w:pPr>
      <w:r w:rsidRPr="002B7918">
        <w:rPr>
          <w:rFonts w:ascii="Helvetica" w:hAnsi="Helvetica" w:cs="Helvetica"/>
          <w:color w:val="333333"/>
        </w:rPr>
        <w:t>Since FY 2006, GSA has based the maximum lodging allowances on average daily rate (ADR). ADR is a widely accepted lodging industry measure derived from a property's room rental revenue divided by the number of rooms rented as reported by the hotel property to the contractor. This calculation provides GSA with the average rate in a</w:t>
      </w:r>
      <w:r w:rsidR="002B7918">
        <w:rPr>
          <w:rFonts w:ascii="Helvetica" w:hAnsi="Helvetica" w:cs="Helvetica"/>
          <w:color w:val="333333"/>
        </w:rPr>
        <w:t xml:space="preserve">n </w:t>
      </w:r>
      <w:r w:rsidRPr="002B7918">
        <w:rPr>
          <w:rFonts w:ascii="Helvetica" w:hAnsi="Helvetica" w:cs="Helvetica"/>
          <w:color w:val="333333"/>
        </w:rPr>
        <w:t xml:space="preserve">area. For more </w:t>
      </w:r>
      <w:r w:rsidR="002B7918">
        <w:rPr>
          <w:rFonts w:ascii="Helvetica" w:hAnsi="Helvetica" w:cs="Helvetica"/>
          <w:color w:val="333333"/>
        </w:rPr>
        <w:t xml:space="preserve">information </w:t>
      </w:r>
      <w:r w:rsidRPr="002B7918">
        <w:rPr>
          <w:rFonts w:ascii="Helvetica" w:hAnsi="Helvetica" w:cs="Helvetica"/>
          <w:color w:val="333333"/>
        </w:rPr>
        <w:t xml:space="preserve">about how lodging per diem rates </w:t>
      </w:r>
      <w:proofErr w:type="gramStart"/>
      <w:r w:rsidRPr="002B7918">
        <w:rPr>
          <w:rFonts w:ascii="Helvetica" w:hAnsi="Helvetica" w:cs="Helvetica"/>
          <w:color w:val="333333"/>
        </w:rPr>
        <w:t>are</w:t>
      </w:r>
      <w:proofErr w:type="gramEnd"/>
      <w:r w:rsidRPr="002B7918">
        <w:rPr>
          <w:rFonts w:ascii="Helvetica" w:hAnsi="Helvetica" w:cs="Helvetica"/>
          <w:color w:val="333333"/>
        </w:rPr>
        <w:t xml:space="preserve"> determined, visit</w:t>
      </w:r>
      <w:hyperlink r:id="rId6" w:history="1">
        <w:r w:rsidRPr="002B7918">
          <w:rPr>
            <w:rStyle w:val="Hyperlink"/>
            <w:rFonts w:ascii="Helvetica" w:hAnsi="Helvetica" w:cs="Helvetica"/>
            <w:color w:val="333333"/>
          </w:rPr>
          <w:t xml:space="preserve"> </w:t>
        </w:r>
        <w:r w:rsidRPr="00834D9E">
          <w:rPr>
            <w:rStyle w:val="Hyperlink"/>
            <w:rFonts w:ascii="Helvetica" w:hAnsi="Helvetica" w:cs="Helvetica"/>
            <w:color w:val="005599"/>
          </w:rPr>
          <w:t>Factors Influencing Lodging Rates</w:t>
        </w:r>
      </w:hyperlink>
      <w:r w:rsidRPr="002B7918">
        <w:rPr>
          <w:rFonts w:ascii="Helvetica" w:hAnsi="Helvetica" w:cs="Helvetica"/>
          <w:color w:val="333333"/>
        </w:rPr>
        <w:t>.</w:t>
      </w:r>
    </w:p>
    <w:p w14:paraId="6D02B8C4" w14:textId="6A479B20" w:rsidR="00474EF8" w:rsidRPr="002B7918" w:rsidRDefault="00474EF8" w:rsidP="00CD3325">
      <w:pPr>
        <w:pStyle w:val="NormalWeb"/>
        <w:spacing w:before="0" w:beforeAutospacing="0" w:after="240" w:afterAutospacing="0" w:line="276" w:lineRule="auto"/>
        <w:rPr>
          <w:rFonts w:ascii="Helvetica" w:hAnsi="Helvetica" w:cs="Helvetica"/>
          <w:color w:val="333333"/>
        </w:rPr>
      </w:pPr>
      <w:r w:rsidRPr="002B7918">
        <w:rPr>
          <w:rFonts w:ascii="Helvetica" w:hAnsi="Helvetica" w:cs="Helvetica"/>
          <w:color w:val="333333"/>
        </w:rPr>
        <w:t>Agencies are reminded that the Federal Travel Regulation</w:t>
      </w:r>
      <w:r w:rsidR="00834D9E">
        <w:rPr>
          <w:rFonts w:ascii="Helvetica" w:hAnsi="Helvetica" w:cs="Helvetica"/>
          <w:color w:val="333333"/>
        </w:rPr>
        <w:t xml:space="preserve"> (FTR)</w:t>
      </w:r>
      <w:r w:rsidRPr="002B7918">
        <w:rPr>
          <w:rFonts w:ascii="Helvetica" w:hAnsi="Helvetica" w:cs="Helvetica"/>
          <w:color w:val="333333"/>
        </w:rPr>
        <w:t xml:space="preserve"> allows for actual expense reimbursement when per diem rates are insufficient to meet necessary expenses. Please see</w:t>
      </w:r>
      <w:r w:rsidRPr="00834D9E">
        <w:rPr>
          <w:rFonts w:ascii="Helvetica" w:hAnsi="Helvetica" w:cs="Helvetica"/>
          <w:color w:val="333333"/>
        </w:rPr>
        <w:t xml:space="preserve"> </w:t>
      </w:r>
      <w:hyperlink r:id="rId7" w:history="1">
        <w:r w:rsidRPr="00834D9E">
          <w:rPr>
            <w:rStyle w:val="Hyperlink"/>
            <w:rFonts w:ascii="Helvetica" w:hAnsi="Helvetica" w:cs="Helvetica"/>
            <w:color w:val="005599"/>
          </w:rPr>
          <w:t>FTR §301-11.300 through 306</w:t>
        </w:r>
      </w:hyperlink>
      <w:r w:rsidRPr="002B7918">
        <w:rPr>
          <w:rFonts w:ascii="Helvetica" w:hAnsi="Helvetica" w:cs="Helvetica"/>
          <w:color w:val="333333"/>
        </w:rPr>
        <w:t xml:space="preserve"> for more information.</w:t>
      </w:r>
    </w:p>
    <w:p w14:paraId="1C772E1E" w14:textId="77777777" w:rsidR="00474EF8" w:rsidRPr="002B7918" w:rsidRDefault="00474EF8" w:rsidP="00CD3325">
      <w:pPr>
        <w:pStyle w:val="NormalWeb"/>
        <w:spacing w:before="0" w:beforeAutospacing="0" w:after="240" w:afterAutospacing="0" w:line="276" w:lineRule="auto"/>
        <w:rPr>
          <w:rFonts w:ascii="Helvetica" w:hAnsi="Helvetica" w:cs="Helvetica"/>
          <w:color w:val="333333"/>
        </w:rPr>
      </w:pPr>
      <w:r w:rsidRPr="002B7918">
        <w:rPr>
          <w:rFonts w:ascii="Helvetica" w:hAnsi="Helvetica" w:cs="Helvetica"/>
          <w:b/>
          <w:bCs/>
          <w:color w:val="333333"/>
        </w:rPr>
        <w:t>FY 2022 Results:</w:t>
      </w:r>
    </w:p>
    <w:p w14:paraId="415CCA29" w14:textId="0630379E" w:rsidR="00FD3721" w:rsidRPr="00834D9E" w:rsidRDefault="00474EF8" w:rsidP="00CD3325">
      <w:pPr>
        <w:pStyle w:val="NormalWeb"/>
        <w:spacing w:before="0" w:beforeAutospacing="0" w:after="240" w:afterAutospacing="0" w:line="276" w:lineRule="auto"/>
        <w:rPr>
          <w:rFonts w:ascii="Helvetica" w:hAnsi="Helvetica" w:cs="Helvetica"/>
          <w:color w:val="333333"/>
        </w:rPr>
      </w:pPr>
      <w:r w:rsidRPr="002B7918">
        <w:rPr>
          <w:rFonts w:ascii="Helvetica" w:hAnsi="Helvetica" w:cs="Helvetica"/>
          <w:color w:val="333333"/>
        </w:rPr>
        <w:t>All current NSA lodging per diem rates will remain at FY 2021 levels. The standard lodging per diem rate will also remain unchanged at $96. The M&amp;IE reimbursement rates were revised. The M&amp;IE NSA tiers range from $59-$79, and the standard M&amp;IE rate is $59.</w:t>
      </w:r>
    </w:p>
    <w:sectPr w:rsidR="00FD3721" w:rsidRPr="00834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C294" w14:textId="77777777" w:rsidR="003139F8" w:rsidRDefault="003139F8" w:rsidP="006335DE">
      <w:pPr>
        <w:spacing w:after="0" w:line="240" w:lineRule="auto"/>
      </w:pPr>
      <w:r>
        <w:separator/>
      </w:r>
    </w:p>
  </w:endnote>
  <w:endnote w:type="continuationSeparator" w:id="0">
    <w:p w14:paraId="7B227F2A" w14:textId="77777777" w:rsidR="003139F8" w:rsidRDefault="003139F8" w:rsidP="0063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DAF6" w14:textId="77777777" w:rsidR="003139F8" w:rsidRDefault="003139F8" w:rsidP="006335DE">
      <w:pPr>
        <w:spacing w:after="0" w:line="240" w:lineRule="auto"/>
      </w:pPr>
      <w:r>
        <w:separator/>
      </w:r>
    </w:p>
  </w:footnote>
  <w:footnote w:type="continuationSeparator" w:id="0">
    <w:p w14:paraId="24927026" w14:textId="77777777" w:rsidR="003139F8" w:rsidRDefault="003139F8" w:rsidP="00633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D7"/>
    <w:rsid w:val="000310AE"/>
    <w:rsid w:val="000972E1"/>
    <w:rsid w:val="000E66D9"/>
    <w:rsid w:val="001060B2"/>
    <w:rsid w:val="00247D40"/>
    <w:rsid w:val="002B7918"/>
    <w:rsid w:val="002C4E22"/>
    <w:rsid w:val="003139F8"/>
    <w:rsid w:val="00351347"/>
    <w:rsid w:val="00393921"/>
    <w:rsid w:val="003A2DD7"/>
    <w:rsid w:val="003C2587"/>
    <w:rsid w:val="003E35E0"/>
    <w:rsid w:val="00474EF8"/>
    <w:rsid w:val="004E5DCB"/>
    <w:rsid w:val="006335DE"/>
    <w:rsid w:val="00834D9E"/>
    <w:rsid w:val="008A77EA"/>
    <w:rsid w:val="00A1364C"/>
    <w:rsid w:val="00BF364F"/>
    <w:rsid w:val="00CD3325"/>
    <w:rsid w:val="00E2080A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D00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A2D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DC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5DE"/>
  </w:style>
  <w:style w:type="paragraph" w:styleId="Footer">
    <w:name w:val="footer"/>
    <w:basedOn w:val="Normal"/>
    <w:link w:val="FooterChar"/>
    <w:uiPriority w:val="99"/>
    <w:unhideWhenUsed/>
    <w:rsid w:val="0063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cfr.gov/cgi-bin/text-idx?SID=fc85ac7d60249009fb7e6f944dc18c92&amp;mc=true&amp;node=pt41.4.301_611&amp;rgn=div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.gov/portal/content/10198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2021-07-27T17:21:00Z</dcterms:created>
  <dcterms:modified xsi:type="dcterms:W3CDTF">2021-08-05T17:05:00Z</dcterms:modified>
</cp:coreProperties>
</file>