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3B" w:rsidRPr="00B9023B" w:rsidRDefault="00B9023B" w:rsidP="00B9023B">
      <w:pPr>
        <w:spacing w:after="150" w:line="264" w:lineRule="atLeast"/>
        <w:outlineLvl w:val="1"/>
        <w:rPr>
          <w:rFonts w:ascii="Helvetica" w:eastAsia="Times New Roman" w:hAnsi="Helvetica" w:cs="Helvetica"/>
          <w:color w:val="333333"/>
          <w:sz w:val="46"/>
          <w:szCs w:val="46"/>
        </w:rPr>
      </w:pP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>FY 20</w:t>
      </w:r>
      <w:r w:rsidR="002E07BD">
        <w:rPr>
          <w:rFonts w:ascii="Helvetica" w:eastAsia="Times New Roman" w:hAnsi="Helvetica" w:cs="Helvetica"/>
          <w:color w:val="333333"/>
          <w:sz w:val="46"/>
          <w:szCs w:val="46"/>
        </w:rPr>
        <w:t>20</w:t>
      </w: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 xml:space="preserve"> Highlights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GSA establishes the p</w:t>
      </w:r>
      <w:r w:rsidR="00CA4ABC">
        <w:rPr>
          <w:rFonts w:eastAsia="Times New Roman" w:cs="Arial"/>
          <w:color w:val="333333"/>
          <w:sz w:val="20"/>
          <w:szCs w:val="20"/>
        </w:rPr>
        <w:t>er diem rates for the lower 48 C</w:t>
      </w:r>
      <w:r w:rsidRPr="003F21DB">
        <w:rPr>
          <w:rFonts w:eastAsia="Times New Roman" w:cs="Arial"/>
          <w:color w:val="333333"/>
          <w:sz w:val="20"/>
          <w:szCs w:val="20"/>
        </w:rPr>
        <w:t>ontinental United States (CONUS), which are the maximum allowances that federal employees are reimbursed for expenses incurred while on official travel.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The CONUS per diem rate for an area is actually three allowances: the lodging allowance, the meals allowance and the incidental expense allowance. Most of the CONUS (approximately 2600 counties) are covered by the standard CONUS per diem rate of $1</w:t>
      </w:r>
      <w:r w:rsidR="002E07BD">
        <w:rPr>
          <w:rFonts w:eastAsia="Times New Roman" w:cs="Arial"/>
          <w:color w:val="333333"/>
          <w:sz w:val="20"/>
          <w:szCs w:val="20"/>
        </w:rPr>
        <w:t>51</w:t>
      </w:r>
      <w:r w:rsidR="00575995" w:rsidRPr="003F21DB">
        <w:rPr>
          <w:rFonts w:eastAsia="Times New Roman" w:cs="Arial"/>
          <w:color w:val="333333"/>
          <w:sz w:val="20"/>
          <w:szCs w:val="20"/>
        </w:rPr>
        <w:t xml:space="preserve"> ($</w:t>
      </w:r>
      <w:r w:rsidR="00BD25CD">
        <w:rPr>
          <w:rFonts w:eastAsia="Times New Roman" w:cs="Arial"/>
          <w:color w:val="333333"/>
          <w:sz w:val="20"/>
          <w:szCs w:val="20"/>
        </w:rPr>
        <w:t>9</w:t>
      </w:r>
      <w:r w:rsidR="002E07BD">
        <w:rPr>
          <w:rFonts w:eastAsia="Times New Roman" w:cs="Arial"/>
          <w:color w:val="333333"/>
          <w:sz w:val="20"/>
          <w:szCs w:val="20"/>
        </w:rPr>
        <w:t>6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lodging, $</w:t>
      </w:r>
      <w:r w:rsidR="00BD25CD">
        <w:rPr>
          <w:rFonts w:eastAsia="Times New Roman" w:cs="Arial"/>
          <w:color w:val="333333"/>
          <w:sz w:val="20"/>
          <w:szCs w:val="20"/>
        </w:rPr>
        <w:t>5</w:t>
      </w:r>
      <w:r w:rsidR="00FC3F37">
        <w:rPr>
          <w:rFonts w:eastAsia="Times New Roman" w:cs="Arial"/>
          <w:color w:val="333333"/>
          <w:sz w:val="20"/>
          <w:szCs w:val="20"/>
        </w:rPr>
        <w:t>5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meals and incidental expenses). In fiscal year (FY) 20</w:t>
      </w:r>
      <w:r w:rsidR="002E07BD">
        <w:rPr>
          <w:rFonts w:eastAsia="Times New Roman" w:cs="Arial"/>
          <w:color w:val="333333"/>
          <w:sz w:val="20"/>
          <w:szCs w:val="20"/>
        </w:rPr>
        <w:t>20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, there </w:t>
      </w:r>
      <w:r w:rsidR="0095712F">
        <w:rPr>
          <w:rFonts w:eastAsia="Times New Roman" w:cs="Arial"/>
          <w:color w:val="333333"/>
          <w:sz w:val="20"/>
          <w:szCs w:val="20"/>
        </w:rPr>
        <w:t xml:space="preserve">are </w:t>
      </w:r>
      <w:r w:rsidR="00DF2159">
        <w:rPr>
          <w:rFonts w:eastAsia="Times New Roman" w:cs="Arial"/>
          <w:color w:val="333333"/>
          <w:sz w:val="20"/>
          <w:szCs w:val="20"/>
        </w:rPr>
        <w:t>3</w:t>
      </w:r>
      <w:r w:rsidR="00FC3F37">
        <w:rPr>
          <w:rFonts w:eastAsia="Times New Roman" w:cs="Arial"/>
          <w:color w:val="333333"/>
          <w:sz w:val="20"/>
          <w:szCs w:val="20"/>
        </w:rPr>
        <w:t>2</w:t>
      </w:r>
      <w:r w:rsidR="002E07BD">
        <w:rPr>
          <w:rFonts w:eastAsia="Times New Roman" w:cs="Arial"/>
          <w:color w:val="333333"/>
          <w:sz w:val="20"/>
          <w:szCs w:val="20"/>
        </w:rPr>
        <w:t>2</w:t>
      </w:r>
      <w:r w:rsidR="00DF2159">
        <w:rPr>
          <w:rFonts w:eastAsia="Times New Roman" w:cs="Arial"/>
          <w:color w:val="333333"/>
          <w:sz w:val="20"/>
          <w:szCs w:val="20"/>
        </w:rPr>
        <w:t xml:space="preserve"> </w:t>
      </w:r>
      <w:r w:rsidRPr="003F21DB">
        <w:rPr>
          <w:rFonts w:eastAsia="Times New Roman" w:cs="Arial"/>
          <w:color w:val="333333"/>
          <w:sz w:val="20"/>
          <w:szCs w:val="20"/>
        </w:rPr>
        <w:t>Non-Standard Areas (NSAs) that have per diem rates higher than the standard CONUS rate.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Since FY 2005, NSA rates have been based on Average Daily Rate (ADR) data from the lodging industry, which GSA obtains through a contract with a leading provider of lodging industry data. For more about how per diem rates are determined, visit </w:t>
      </w:r>
      <w:hyperlink r:id="rId6" w:tgtFrame="_self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Factors Influencing Lodging Rates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. The ADR is a widely accepted lodging-industry measure based upon a property's room rental revenue divided by the number of rooms rented as reported by the hotel property to the contractor. This calculation provides </w:t>
      </w:r>
      <w:r w:rsidR="00CA4ABC">
        <w:rPr>
          <w:rFonts w:eastAsia="Times New Roman" w:cs="Arial"/>
          <w:color w:val="333333"/>
          <w:sz w:val="20"/>
          <w:szCs w:val="20"/>
        </w:rPr>
        <w:t>GSA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with the average rate in a given area.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As in previous years, GSA still uses: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Only "fire safe" properties; GSA is required by law to use only </w:t>
      </w:r>
      <w:hyperlink r:id="rId7" w:tgtFrame="_self" w:history="1">
        <w:r w:rsidRPr="003F21DB">
          <w:rPr>
            <w:rFonts w:eastAsia="Times New Roman" w:cs="Arial"/>
            <w:color w:val="282E8C"/>
            <w:sz w:val="20"/>
            <w:szCs w:val="20"/>
          </w:rPr>
          <w:t>properties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> that are certified as being in compliance with the Hotel &amp; Motel Fire Safety Act of 1990.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Properties that fall within the mid-price range. 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Data from the prior 12-month period.  For FY 20</w:t>
      </w:r>
      <w:r w:rsidR="002E07BD">
        <w:rPr>
          <w:rFonts w:eastAsia="Times New Roman" w:cs="Arial"/>
          <w:color w:val="333333"/>
          <w:sz w:val="20"/>
          <w:szCs w:val="20"/>
        </w:rPr>
        <w:t>20</w:t>
      </w:r>
      <w:r w:rsidRPr="003F21DB">
        <w:rPr>
          <w:rFonts w:eastAsia="Times New Roman" w:cs="Arial"/>
          <w:color w:val="333333"/>
          <w:sz w:val="20"/>
          <w:szCs w:val="20"/>
        </w:rPr>
        <w:t>, this is from April 201</w:t>
      </w:r>
      <w:r w:rsidR="002E07BD">
        <w:rPr>
          <w:rFonts w:eastAsia="Times New Roman" w:cs="Arial"/>
          <w:color w:val="333333"/>
          <w:sz w:val="20"/>
          <w:szCs w:val="20"/>
        </w:rPr>
        <w:t>8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through March 201</w:t>
      </w:r>
      <w:r w:rsidR="002E07BD">
        <w:rPr>
          <w:rFonts w:eastAsia="Times New Roman" w:cs="Arial"/>
          <w:color w:val="333333"/>
          <w:sz w:val="20"/>
          <w:szCs w:val="20"/>
        </w:rPr>
        <w:t>9</w:t>
      </w:r>
      <w:r w:rsidRPr="003F21DB">
        <w:rPr>
          <w:rFonts w:eastAsia="Times New Roman" w:cs="Arial"/>
          <w:color w:val="333333"/>
          <w:sz w:val="20"/>
          <w:szCs w:val="20"/>
        </w:rPr>
        <w:t>;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Business travel week data (Monday through Thursday)</w:t>
      </w:r>
      <w:r w:rsidR="00A53D44">
        <w:rPr>
          <w:rFonts w:eastAsia="Times New Roman" w:cs="Arial"/>
          <w:color w:val="333333"/>
          <w:sz w:val="20"/>
          <w:szCs w:val="20"/>
        </w:rPr>
        <w:t>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Agencies are reminded that the Federal Travel Regulation allows for actual expense reimbursement when per diem rates are insufficient to meet necessary expenses. Please see </w:t>
      </w:r>
      <w:hyperlink r:id="rId8" w:anchor="i1204358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FTR §301-11.300 through 306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 for more information.</w:t>
      </w:r>
    </w:p>
    <w:p w:rsidR="009219B7" w:rsidRDefault="00B9023B" w:rsidP="003F21DB">
      <w:pPr>
        <w:rPr>
          <w:rFonts w:eastAsia="Times New Roman" w:cs="Arial"/>
          <w:sz w:val="20"/>
          <w:szCs w:val="20"/>
        </w:rPr>
      </w:pP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FY </w:t>
      </w:r>
      <w:r w:rsidR="00575995" w:rsidRPr="003F21DB">
        <w:rPr>
          <w:rFonts w:eastAsia="Times New Roman" w:cs="Arial"/>
          <w:b/>
          <w:bCs/>
          <w:color w:val="333333"/>
          <w:sz w:val="20"/>
          <w:szCs w:val="20"/>
        </w:rPr>
        <w:t>20</w:t>
      </w:r>
      <w:r w:rsidR="002E07BD">
        <w:rPr>
          <w:rFonts w:eastAsia="Times New Roman" w:cs="Arial"/>
          <w:b/>
          <w:bCs/>
          <w:color w:val="333333"/>
          <w:sz w:val="20"/>
          <w:szCs w:val="20"/>
        </w:rPr>
        <w:t>20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 Results</w:t>
      </w:r>
      <w:proofErr w:type="gramStart"/>
      <w:r w:rsidRPr="003F21DB">
        <w:rPr>
          <w:rFonts w:eastAsia="Times New Roman" w:cs="Arial"/>
          <w:b/>
          <w:bCs/>
          <w:color w:val="333333"/>
          <w:sz w:val="20"/>
          <w:szCs w:val="20"/>
        </w:rPr>
        <w:t>:</w:t>
      </w:r>
      <w:bookmarkStart w:id="0" w:name="_GoBack"/>
      <w:bookmarkEnd w:id="0"/>
      <w:proofErr w:type="gramEnd"/>
      <w:r w:rsidRPr="003F21DB">
        <w:rPr>
          <w:rFonts w:eastAsia="Times New Roman" w:cs="Arial"/>
          <w:color w:val="333333"/>
          <w:sz w:val="20"/>
          <w:szCs w:val="20"/>
        </w:rPr>
        <w:br/>
      </w:r>
      <w:r w:rsidRPr="003F21DB">
        <w:rPr>
          <w:rFonts w:eastAsia="Times New Roman" w:cs="Arial"/>
          <w:color w:val="333333"/>
          <w:sz w:val="20"/>
          <w:szCs w:val="20"/>
        </w:rPr>
        <w:br/>
      </w:r>
      <w:r w:rsidR="002E07BD">
        <w:rPr>
          <w:rFonts w:eastAsia="Times New Roman" w:cs="Arial"/>
          <w:sz w:val="20"/>
          <w:szCs w:val="20"/>
        </w:rPr>
        <w:t xml:space="preserve">Boise, ID (Ada </w:t>
      </w:r>
      <w:r w:rsidR="002C07AF">
        <w:rPr>
          <w:rFonts w:eastAsia="Times New Roman" w:cs="Arial"/>
          <w:sz w:val="20"/>
          <w:szCs w:val="20"/>
        </w:rPr>
        <w:t xml:space="preserve">County) </w:t>
      </w:r>
      <w:r w:rsidR="00FC3F37">
        <w:rPr>
          <w:rFonts w:eastAsia="Times New Roman" w:cs="Arial"/>
          <w:sz w:val="20"/>
          <w:szCs w:val="20"/>
        </w:rPr>
        <w:t>is a new NSA l</w:t>
      </w:r>
      <w:r w:rsidR="0095712F">
        <w:rPr>
          <w:rFonts w:eastAsia="Times New Roman" w:cs="Arial"/>
          <w:sz w:val="20"/>
          <w:szCs w:val="20"/>
        </w:rPr>
        <w:t>ocation this year.</w:t>
      </w:r>
    </w:p>
    <w:p w:rsidR="002E07BD" w:rsidRDefault="002E07BD" w:rsidP="003F21DB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Park County, MT has been added to the </w:t>
      </w:r>
      <w:r w:rsidR="0036030D">
        <w:rPr>
          <w:rFonts w:eastAsia="Times New Roman" w:cs="Arial"/>
          <w:sz w:val="20"/>
          <w:szCs w:val="20"/>
        </w:rPr>
        <w:t>Big Sky, MT NSA area.</w:t>
      </w:r>
    </w:p>
    <w:p w:rsidR="0036030D" w:rsidRPr="0036030D" w:rsidRDefault="0036030D" w:rsidP="003F21DB">
      <w:pPr>
        <w:rPr>
          <w:rFonts w:eastAsia="Times New Roman" w:cs="Arial"/>
          <w:sz w:val="20"/>
          <w:szCs w:val="20"/>
        </w:rPr>
      </w:pPr>
      <w:r w:rsidRPr="0036030D">
        <w:rPr>
          <w:rFonts w:cs="Arial"/>
          <w:color w:val="000000"/>
          <w:sz w:val="20"/>
          <w:szCs w:val="20"/>
        </w:rPr>
        <w:t>Missoula and Flathead Counties</w:t>
      </w:r>
      <w:r>
        <w:rPr>
          <w:rFonts w:cs="Arial"/>
          <w:color w:val="000000"/>
          <w:sz w:val="20"/>
          <w:szCs w:val="20"/>
        </w:rPr>
        <w:t xml:space="preserve"> in Montana</w:t>
      </w:r>
      <w:r w:rsidRPr="0036030D">
        <w:rPr>
          <w:rFonts w:cs="Arial"/>
          <w:color w:val="000000"/>
          <w:sz w:val="20"/>
          <w:szCs w:val="20"/>
        </w:rPr>
        <w:t xml:space="preserve"> were separated into their own NSAs</w:t>
      </w:r>
      <w:r>
        <w:rPr>
          <w:rFonts w:cs="Arial"/>
          <w:color w:val="000000"/>
          <w:sz w:val="20"/>
          <w:szCs w:val="20"/>
        </w:rPr>
        <w:t xml:space="preserve"> instead of a combined NSA.</w:t>
      </w:r>
    </w:p>
    <w:p w:rsidR="009219B7" w:rsidRDefault="0036030D" w:rsidP="00B9023B">
      <w:pPr>
        <w:spacing w:after="0" w:line="240" w:lineRule="atLeast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The </w:t>
      </w:r>
      <w:r w:rsidR="00185F93">
        <w:rPr>
          <w:rFonts w:eastAsia="Times New Roman" w:cs="Arial"/>
          <w:sz w:val="20"/>
          <w:szCs w:val="20"/>
        </w:rPr>
        <w:t>following</w:t>
      </w:r>
      <w:r w:rsidR="0095712F">
        <w:rPr>
          <w:rFonts w:eastAsia="Times New Roman" w:cs="Arial"/>
          <w:sz w:val="20"/>
          <w:szCs w:val="20"/>
        </w:rPr>
        <w:t xml:space="preserve"> </w:t>
      </w:r>
      <w:r w:rsidR="00B9023B" w:rsidRPr="00286D45">
        <w:rPr>
          <w:rFonts w:eastAsia="Times New Roman" w:cs="Arial"/>
          <w:sz w:val="20"/>
          <w:szCs w:val="20"/>
        </w:rPr>
        <w:t xml:space="preserve">locations </w:t>
      </w:r>
      <w:r w:rsidR="00575995" w:rsidRPr="00286D45">
        <w:rPr>
          <w:rFonts w:eastAsia="Times New Roman" w:cs="Arial"/>
          <w:sz w:val="20"/>
          <w:szCs w:val="20"/>
        </w:rPr>
        <w:t xml:space="preserve">that were NSAs </w:t>
      </w:r>
      <w:r w:rsidR="00185F93">
        <w:rPr>
          <w:rFonts w:eastAsia="Times New Roman" w:cs="Arial"/>
          <w:sz w:val="20"/>
          <w:szCs w:val="20"/>
        </w:rPr>
        <w:t xml:space="preserve">(or in an established NSA in the case of individual counties) </w:t>
      </w:r>
      <w:r w:rsidR="00575995" w:rsidRPr="00286D45">
        <w:rPr>
          <w:rFonts w:eastAsia="Times New Roman" w:cs="Arial"/>
          <w:sz w:val="20"/>
          <w:szCs w:val="20"/>
        </w:rPr>
        <w:t>in FY 201</w:t>
      </w:r>
      <w:r>
        <w:rPr>
          <w:rFonts w:eastAsia="Times New Roman" w:cs="Arial"/>
          <w:sz w:val="20"/>
          <w:szCs w:val="20"/>
        </w:rPr>
        <w:t>9</w:t>
      </w:r>
      <w:r w:rsidR="00575995" w:rsidRPr="00286D45">
        <w:rPr>
          <w:rFonts w:eastAsia="Times New Roman" w:cs="Arial"/>
          <w:sz w:val="20"/>
          <w:szCs w:val="20"/>
        </w:rPr>
        <w:t xml:space="preserve"> will </w:t>
      </w:r>
      <w:r w:rsidR="00B9023B" w:rsidRPr="00286D45">
        <w:rPr>
          <w:rFonts w:eastAsia="Times New Roman" w:cs="Arial"/>
          <w:sz w:val="20"/>
          <w:szCs w:val="20"/>
        </w:rPr>
        <w:t>move into th</w:t>
      </w:r>
      <w:r w:rsidR="00185F93">
        <w:rPr>
          <w:rFonts w:eastAsia="Times New Roman" w:cs="Arial"/>
          <w:sz w:val="20"/>
          <w:szCs w:val="20"/>
        </w:rPr>
        <w:t>e standard CONUS rate category:</w:t>
      </w:r>
    </w:p>
    <w:p w:rsidR="00185F93" w:rsidRDefault="00185F93" w:rsidP="00B9023B">
      <w:pPr>
        <w:spacing w:after="0" w:line="240" w:lineRule="atLeast"/>
        <w:rPr>
          <w:rFonts w:eastAsia="Times New Roman" w:cs="Arial"/>
          <w:sz w:val="20"/>
          <w:szCs w:val="20"/>
        </w:rPr>
      </w:pPr>
    </w:p>
    <w:tbl>
      <w:tblPr>
        <w:tblStyle w:val="LightList-Accent1"/>
        <w:tblW w:w="7200" w:type="dxa"/>
        <w:tblLook w:val="0420" w:firstRow="1" w:lastRow="0" w:firstColumn="0" w:lastColumn="0" w:noHBand="0" w:noVBand="1"/>
      </w:tblPr>
      <w:tblGrid>
        <w:gridCol w:w="7200"/>
      </w:tblGrid>
      <w:tr w:rsidR="009219B7" w:rsidRPr="009219B7" w:rsidTr="00185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7200" w:type="dxa"/>
            <w:hideMark/>
          </w:tcPr>
          <w:p w:rsidR="009219B7" w:rsidRPr="009219B7" w:rsidRDefault="005D4B2E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bCs w:val="0"/>
                <w:kern w:val="24"/>
                <w:sz w:val="24"/>
                <w:szCs w:val="24"/>
              </w:rPr>
              <w:t>Destination/State</w:t>
            </w:r>
          </w:p>
        </w:tc>
      </w:tr>
      <w:tr w:rsidR="00185F93" w:rsidRPr="00DF2159" w:rsidTr="0036030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185F93" w:rsidRPr="002C07AF" w:rsidRDefault="0036030D" w:rsidP="002C07AF">
            <w:pPr>
              <w:rPr>
                <w:b w:val="0"/>
              </w:rPr>
            </w:pPr>
            <w:r>
              <w:rPr>
                <w:b w:val="0"/>
              </w:rPr>
              <w:t>Dover, DE (Kent County)</w:t>
            </w:r>
          </w:p>
        </w:tc>
      </w:tr>
      <w:tr w:rsidR="00712065" w:rsidRPr="00DF2159" w:rsidTr="00185F9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712065" w:rsidRPr="002C07AF" w:rsidRDefault="0036030D" w:rsidP="002C07AF">
            <w:pPr>
              <w:rPr>
                <w:b w:val="0"/>
              </w:rPr>
            </w:pPr>
            <w:r>
              <w:rPr>
                <w:b w:val="0"/>
              </w:rPr>
              <w:t>South Bend, IN (St. Joseph County)</w:t>
            </w:r>
          </w:p>
        </w:tc>
      </w:tr>
      <w:tr w:rsidR="00185F93" w:rsidRPr="00DF2159" w:rsidTr="0036030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185F93" w:rsidRPr="002C07AF" w:rsidRDefault="0036030D" w:rsidP="002C07AF">
            <w:pPr>
              <w:rPr>
                <w:b w:val="0"/>
              </w:rPr>
            </w:pPr>
            <w:r>
              <w:rPr>
                <w:b w:val="0"/>
              </w:rPr>
              <w:t>Benton Harbor</w:t>
            </w:r>
            <w:r w:rsidR="004E79AC">
              <w:rPr>
                <w:b w:val="0"/>
              </w:rPr>
              <w:t>/St. Joseph/Stevensville</w:t>
            </w:r>
            <w:r>
              <w:rPr>
                <w:b w:val="0"/>
              </w:rPr>
              <w:t>, MI</w:t>
            </w:r>
            <w:r w:rsidR="004E79AC">
              <w:rPr>
                <w:b w:val="0"/>
              </w:rPr>
              <w:t xml:space="preserve"> (Berrien County)</w:t>
            </w:r>
          </w:p>
        </w:tc>
      </w:tr>
      <w:tr w:rsidR="004E79AC" w:rsidRPr="00DF2159" w:rsidTr="00A31A2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4E79AC" w:rsidRPr="002C07AF" w:rsidRDefault="004E79AC" w:rsidP="00A31A21">
            <w:pPr>
              <w:rPr>
                <w:b w:val="0"/>
              </w:rPr>
            </w:pPr>
            <w:r>
              <w:rPr>
                <w:b w:val="0"/>
              </w:rPr>
              <w:t>Polson, MT (Lake County)</w:t>
            </w:r>
          </w:p>
        </w:tc>
      </w:tr>
      <w:tr w:rsidR="004E79AC" w:rsidRPr="00DF2159" w:rsidTr="00A31A2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4E79AC" w:rsidRPr="002C07AF" w:rsidRDefault="004E79AC" w:rsidP="00A31A21">
            <w:pPr>
              <w:rPr>
                <w:b w:val="0"/>
              </w:rPr>
            </w:pPr>
            <w:r>
              <w:rPr>
                <w:b w:val="0"/>
              </w:rPr>
              <w:t>Medina County, OH</w:t>
            </w:r>
          </w:p>
        </w:tc>
      </w:tr>
      <w:tr w:rsidR="004E79AC" w:rsidRPr="00DF2159" w:rsidTr="00185F9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4E79AC" w:rsidRPr="002C07AF" w:rsidRDefault="004E79AC" w:rsidP="00A31A21">
            <w:pPr>
              <w:rPr>
                <w:b w:val="0"/>
              </w:rPr>
            </w:pPr>
            <w:r>
              <w:rPr>
                <w:b w:val="0"/>
              </w:rPr>
              <w:lastRenderedPageBreak/>
              <w:t>Aiken County, SC</w:t>
            </w:r>
          </w:p>
        </w:tc>
      </w:tr>
      <w:tr w:rsidR="004E79AC" w:rsidRPr="00DF2159" w:rsidTr="00185F9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4E79AC" w:rsidRPr="002C07AF" w:rsidRDefault="004E79AC" w:rsidP="00A31A21">
            <w:pPr>
              <w:rPr>
                <w:b w:val="0"/>
              </w:rPr>
            </w:pPr>
            <w:r>
              <w:rPr>
                <w:b w:val="0"/>
              </w:rPr>
              <w:t>Sheboygan County, WI</w:t>
            </w:r>
          </w:p>
        </w:tc>
      </w:tr>
    </w:tbl>
    <w:p w:rsidR="00B71BE2" w:rsidRPr="005D4B2E" w:rsidRDefault="00B71BE2">
      <w:pPr>
        <w:rPr>
          <w:sz w:val="24"/>
          <w:szCs w:val="24"/>
        </w:rPr>
      </w:pPr>
    </w:p>
    <w:sectPr w:rsidR="00B71BE2" w:rsidRPr="005D4B2E" w:rsidSect="00B7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026C2"/>
    <w:multiLevelType w:val="multilevel"/>
    <w:tmpl w:val="684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B"/>
    <w:rsid w:val="000538B9"/>
    <w:rsid w:val="000D4299"/>
    <w:rsid w:val="000F0D13"/>
    <w:rsid w:val="00185F93"/>
    <w:rsid w:val="00236006"/>
    <w:rsid w:val="00286D45"/>
    <w:rsid w:val="002C07AF"/>
    <w:rsid w:val="002D5291"/>
    <w:rsid w:val="002E07BD"/>
    <w:rsid w:val="0036030D"/>
    <w:rsid w:val="003F21DB"/>
    <w:rsid w:val="0043439F"/>
    <w:rsid w:val="004E79AC"/>
    <w:rsid w:val="0051347D"/>
    <w:rsid w:val="00575995"/>
    <w:rsid w:val="005D4B2E"/>
    <w:rsid w:val="006B5011"/>
    <w:rsid w:val="00712065"/>
    <w:rsid w:val="007A4800"/>
    <w:rsid w:val="009219B7"/>
    <w:rsid w:val="0095712F"/>
    <w:rsid w:val="00A53D44"/>
    <w:rsid w:val="00A5534C"/>
    <w:rsid w:val="00A60771"/>
    <w:rsid w:val="00B11087"/>
    <w:rsid w:val="00B71BE2"/>
    <w:rsid w:val="00B9023B"/>
    <w:rsid w:val="00BD25CD"/>
    <w:rsid w:val="00C71BE8"/>
    <w:rsid w:val="00CA4ABC"/>
    <w:rsid w:val="00DF2159"/>
    <w:rsid w:val="00E2455B"/>
    <w:rsid w:val="00F02B96"/>
    <w:rsid w:val="00F850D9"/>
    <w:rsid w:val="00FB694D"/>
    <w:rsid w:val="00F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23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a.gov/policy-regulations/regulations/federal-travel-regulation-ftr?asset=1226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fa.dhs.gov/applications/hot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a.gov/portal/content/10198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JillDenning</dc:creator>
  <cp:lastModifiedBy>Jill Denning</cp:lastModifiedBy>
  <cp:revision>3</cp:revision>
  <dcterms:created xsi:type="dcterms:W3CDTF">2019-07-22T19:08:00Z</dcterms:created>
  <dcterms:modified xsi:type="dcterms:W3CDTF">2019-07-26T19:10:00Z</dcterms:modified>
</cp:coreProperties>
</file>