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23B" w:rsidRPr="00B9023B" w:rsidRDefault="00B9023B" w:rsidP="00B9023B">
      <w:pPr>
        <w:spacing w:after="150" w:line="264" w:lineRule="atLeast"/>
        <w:outlineLvl w:val="1"/>
        <w:rPr>
          <w:rFonts w:ascii="Helvetica" w:eastAsia="Times New Roman" w:hAnsi="Helvetica" w:cs="Helvetica"/>
          <w:color w:val="333333"/>
          <w:sz w:val="46"/>
          <w:szCs w:val="46"/>
        </w:rPr>
      </w:pPr>
      <w:r w:rsidRPr="00B9023B">
        <w:rPr>
          <w:rFonts w:ascii="Helvetica" w:eastAsia="Times New Roman" w:hAnsi="Helvetica" w:cs="Helvetica"/>
          <w:color w:val="333333"/>
          <w:sz w:val="46"/>
          <w:szCs w:val="46"/>
        </w:rPr>
        <w:t>FY 201</w:t>
      </w:r>
      <w:r w:rsidR="00FC3F37">
        <w:rPr>
          <w:rFonts w:ascii="Helvetica" w:eastAsia="Times New Roman" w:hAnsi="Helvetica" w:cs="Helvetica"/>
          <w:color w:val="333333"/>
          <w:sz w:val="46"/>
          <w:szCs w:val="46"/>
        </w:rPr>
        <w:t>9</w:t>
      </w:r>
      <w:r w:rsidRPr="00B9023B">
        <w:rPr>
          <w:rFonts w:ascii="Helvetica" w:eastAsia="Times New Roman" w:hAnsi="Helvetica" w:cs="Helvetica"/>
          <w:color w:val="333333"/>
          <w:sz w:val="46"/>
          <w:szCs w:val="46"/>
        </w:rPr>
        <w:t xml:space="preserve"> Highlights</w:t>
      </w:r>
    </w:p>
    <w:p w:rsidR="00B9023B" w:rsidRPr="003F21DB" w:rsidRDefault="00B9023B" w:rsidP="00B9023B">
      <w:pPr>
        <w:spacing w:before="240" w:after="240" w:line="240" w:lineRule="atLeast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GSA establishes the p</w:t>
      </w:r>
      <w:r w:rsidR="00CA4ABC">
        <w:rPr>
          <w:rFonts w:eastAsia="Times New Roman" w:cs="Arial"/>
          <w:color w:val="333333"/>
          <w:sz w:val="20"/>
          <w:szCs w:val="20"/>
        </w:rPr>
        <w:t>er diem rates for the lower 48 C</w:t>
      </w:r>
      <w:r w:rsidRPr="003F21DB">
        <w:rPr>
          <w:rFonts w:eastAsia="Times New Roman" w:cs="Arial"/>
          <w:color w:val="333333"/>
          <w:sz w:val="20"/>
          <w:szCs w:val="20"/>
        </w:rPr>
        <w:t>ontinental United States (CONUS), which are the maximum allowances that federal employees are reimbursed for expenses incurred while on official travel.</w:t>
      </w:r>
    </w:p>
    <w:p w:rsidR="00B9023B" w:rsidRPr="003F21DB" w:rsidRDefault="00B9023B" w:rsidP="00B9023B">
      <w:pPr>
        <w:spacing w:before="240" w:after="240" w:line="240" w:lineRule="atLeast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The CONUS per diem rate for an area is actually three allowances: the lodging allowance, the meals allowance and the incidental expense allowance. Most of the CONUS (approximately 2600 counties) are covered by the standard CONUS per diem rate of $1</w:t>
      </w:r>
      <w:r w:rsidR="00BD25CD">
        <w:rPr>
          <w:rFonts w:eastAsia="Times New Roman" w:cs="Arial"/>
          <w:color w:val="333333"/>
          <w:sz w:val="20"/>
          <w:szCs w:val="20"/>
        </w:rPr>
        <w:t>4</w:t>
      </w:r>
      <w:r w:rsidR="00FC3F37">
        <w:rPr>
          <w:rFonts w:eastAsia="Times New Roman" w:cs="Arial"/>
          <w:color w:val="333333"/>
          <w:sz w:val="20"/>
          <w:szCs w:val="20"/>
        </w:rPr>
        <w:t>9</w:t>
      </w:r>
      <w:r w:rsidR="00575995" w:rsidRPr="003F21DB">
        <w:rPr>
          <w:rFonts w:eastAsia="Times New Roman" w:cs="Arial"/>
          <w:color w:val="333333"/>
          <w:sz w:val="20"/>
          <w:szCs w:val="20"/>
        </w:rPr>
        <w:t xml:space="preserve"> ($</w:t>
      </w:r>
      <w:r w:rsidR="00BD25CD">
        <w:rPr>
          <w:rFonts w:eastAsia="Times New Roman" w:cs="Arial"/>
          <w:color w:val="333333"/>
          <w:sz w:val="20"/>
          <w:szCs w:val="20"/>
        </w:rPr>
        <w:t>9</w:t>
      </w:r>
      <w:r w:rsidR="00FC3F37">
        <w:rPr>
          <w:rFonts w:eastAsia="Times New Roman" w:cs="Arial"/>
          <w:color w:val="333333"/>
          <w:sz w:val="20"/>
          <w:szCs w:val="20"/>
        </w:rPr>
        <w:t>4</w:t>
      </w:r>
      <w:r w:rsidRPr="003F21DB">
        <w:rPr>
          <w:rFonts w:eastAsia="Times New Roman" w:cs="Arial"/>
          <w:color w:val="333333"/>
          <w:sz w:val="20"/>
          <w:szCs w:val="20"/>
        </w:rPr>
        <w:t xml:space="preserve"> lodging, $</w:t>
      </w:r>
      <w:r w:rsidR="00BD25CD">
        <w:rPr>
          <w:rFonts w:eastAsia="Times New Roman" w:cs="Arial"/>
          <w:color w:val="333333"/>
          <w:sz w:val="20"/>
          <w:szCs w:val="20"/>
        </w:rPr>
        <w:t>5</w:t>
      </w:r>
      <w:r w:rsidR="00FC3F37">
        <w:rPr>
          <w:rFonts w:eastAsia="Times New Roman" w:cs="Arial"/>
          <w:color w:val="333333"/>
          <w:sz w:val="20"/>
          <w:szCs w:val="20"/>
        </w:rPr>
        <w:t>5</w:t>
      </w:r>
      <w:r w:rsidRPr="003F21DB">
        <w:rPr>
          <w:rFonts w:eastAsia="Times New Roman" w:cs="Arial"/>
          <w:color w:val="333333"/>
          <w:sz w:val="20"/>
          <w:szCs w:val="20"/>
        </w:rPr>
        <w:t xml:space="preserve"> meals and incidental expenses). In fiscal year (FY) 201</w:t>
      </w:r>
      <w:r w:rsidR="00FC3F37">
        <w:rPr>
          <w:rFonts w:eastAsia="Times New Roman" w:cs="Arial"/>
          <w:color w:val="333333"/>
          <w:sz w:val="20"/>
          <w:szCs w:val="20"/>
        </w:rPr>
        <w:t>9</w:t>
      </w:r>
      <w:r w:rsidRPr="003F21DB">
        <w:rPr>
          <w:rFonts w:eastAsia="Times New Roman" w:cs="Arial"/>
          <w:color w:val="333333"/>
          <w:sz w:val="20"/>
          <w:szCs w:val="20"/>
        </w:rPr>
        <w:t xml:space="preserve">, there </w:t>
      </w:r>
      <w:r w:rsidR="0095712F">
        <w:rPr>
          <w:rFonts w:eastAsia="Times New Roman" w:cs="Arial"/>
          <w:color w:val="333333"/>
          <w:sz w:val="20"/>
          <w:szCs w:val="20"/>
        </w:rPr>
        <w:t xml:space="preserve">are </w:t>
      </w:r>
      <w:r w:rsidR="00DF2159">
        <w:rPr>
          <w:rFonts w:eastAsia="Times New Roman" w:cs="Arial"/>
          <w:color w:val="333333"/>
          <w:sz w:val="20"/>
          <w:szCs w:val="20"/>
        </w:rPr>
        <w:t>3</w:t>
      </w:r>
      <w:r w:rsidR="00FC3F37">
        <w:rPr>
          <w:rFonts w:eastAsia="Times New Roman" w:cs="Arial"/>
          <w:color w:val="333333"/>
          <w:sz w:val="20"/>
          <w:szCs w:val="20"/>
        </w:rPr>
        <w:t>25</w:t>
      </w:r>
      <w:r w:rsidR="00DF2159">
        <w:rPr>
          <w:rFonts w:eastAsia="Times New Roman" w:cs="Arial"/>
          <w:color w:val="333333"/>
          <w:sz w:val="20"/>
          <w:szCs w:val="20"/>
        </w:rPr>
        <w:t xml:space="preserve"> </w:t>
      </w:r>
      <w:r w:rsidRPr="003F21DB">
        <w:rPr>
          <w:rFonts w:eastAsia="Times New Roman" w:cs="Arial"/>
          <w:color w:val="333333"/>
          <w:sz w:val="20"/>
          <w:szCs w:val="20"/>
        </w:rPr>
        <w:t>Non-Standard Areas (NSAs) that have per diem rates higher than the standard CONUS rate.</w:t>
      </w:r>
    </w:p>
    <w:p w:rsidR="00B9023B" w:rsidRPr="003F21DB" w:rsidRDefault="00B9023B" w:rsidP="00B9023B">
      <w:pPr>
        <w:spacing w:before="240" w:after="240" w:line="240" w:lineRule="atLeast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 xml:space="preserve">Since FY 2005, NSA rates have been based on Average Daily Rate (ADR) data from the lodging industry, which GSA obtains through a contract with a leading provider of lodging industry data. For more about how per diem rates are determined, visit </w:t>
      </w:r>
      <w:hyperlink r:id="rId6" w:tgtFrame="_self" w:history="1">
        <w:r w:rsidRPr="003F21DB">
          <w:rPr>
            <w:rFonts w:eastAsia="Times New Roman" w:cs="Arial"/>
            <w:color w:val="282E8C"/>
            <w:sz w:val="20"/>
            <w:szCs w:val="20"/>
            <w:u w:val="single"/>
          </w:rPr>
          <w:t>Factors Influencing Lodging Rates</w:t>
        </w:r>
      </w:hyperlink>
      <w:r w:rsidRPr="003F21DB">
        <w:rPr>
          <w:rFonts w:eastAsia="Times New Roman" w:cs="Arial"/>
          <w:color w:val="333333"/>
          <w:sz w:val="20"/>
          <w:szCs w:val="20"/>
        </w:rPr>
        <w:t xml:space="preserve">. The ADR is a widely accepted lodging-industry measure based upon a property's room rental revenue divided by the number of rooms rented as reported by the hotel property to the contractor. This calculation provides </w:t>
      </w:r>
      <w:r w:rsidR="00CA4ABC">
        <w:rPr>
          <w:rFonts w:eastAsia="Times New Roman" w:cs="Arial"/>
          <w:color w:val="333333"/>
          <w:sz w:val="20"/>
          <w:szCs w:val="20"/>
        </w:rPr>
        <w:t>GSA</w:t>
      </w:r>
      <w:r w:rsidRPr="003F21DB">
        <w:rPr>
          <w:rFonts w:eastAsia="Times New Roman" w:cs="Arial"/>
          <w:color w:val="333333"/>
          <w:sz w:val="20"/>
          <w:szCs w:val="20"/>
        </w:rPr>
        <w:t xml:space="preserve"> with the average rate in a given area.</w:t>
      </w:r>
    </w:p>
    <w:p w:rsidR="00B9023B" w:rsidRPr="003F21DB" w:rsidRDefault="00B9023B" w:rsidP="00B9023B">
      <w:pPr>
        <w:spacing w:before="240" w:after="240" w:line="240" w:lineRule="atLeast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As in previous years, GSA still uses:</w:t>
      </w:r>
    </w:p>
    <w:p w:rsidR="00B9023B" w:rsidRPr="003F21DB" w:rsidRDefault="00B9023B" w:rsidP="00B9023B">
      <w:pPr>
        <w:numPr>
          <w:ilvl w:val="0"/>
          <w:numId w:val="1"/>
        </w:numPr>
        <w:spacing w:before="30" w:after="30" w:line="264" w:lineRule="atLeast"/>
        <w:ind w:left="0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Only "fire safe" properties; GSA is required by law to use only </w:t>
      </w:r>
      <w:hyperlink r:id="rId7" w:tgtFrame="_self" w:history="1">
        <w:r w:rsidRPr="003F21DB">
          <w:rPr>
            <w:rFonts w:eastAsia="Times New Roman" w:cs="Arial"/>
            <w:color w:val="282E8C"/>
            <w:sz w:val="20"/>
            <w:szCs w:val="20"/>
          </w:rPr>
          <w:t>properties</w:t>
        </w:r>
      </w:hyperlink>
      <w:r w:rsidRPr="003F21DB">
        <w:rPr>
          <w:rFonts w:eastAsia="Times New Roman" w:cs="Arial"/>
          <w:color w:val="333333"/>
          <w:sz w:val="20"/>
          <w:szCs w:val="20"/>
        </w:rPr>
        <w:t> that are certified as being in compliance with the Hotel &amp; Motel Fire Safety Act of 1990.</w:t>
      </w:r>
    </w:p>
    <w:p w:rsidR="00B9023B" w:rsidRPr="003F21DB" w:rsidRDefault="00B9023B" w:rsidP="00B9023B">
      <w:pPr>
        <w:numPr>
          <w:ilvl w:val="0"/>
          <w:numId w:val="1"/>
        </w:numPr>
        <w:spacing w:before="30" w:after="30" w:line="264" w:lineRule="atLeast"/>
        <w:ind w:left="0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Properties that fall within the mid-price range. </w:t>
      </w:r>
    </w:p>
    <w:p w:rsidR="00B9023B" w:rsidRPr="003F21DB" w:rsidRDefault="00B9023B" w:rsidP="00B9023B">
      <w:pPr>
        <w:numPr>
          <w:ilvl w:val="0"/>
          <w:numId w:val="1"/>
        </w:numPr>
        <w:spacing w:before="30" w:after="30" w:line="264" w:lineRule="atLeast"/>
        <w:ind w:left="0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Data from the prior 12-month period.  For FY 201</w:t>
      </w:r>
      <w:r w:rsidR="00FC3F37">
        <w:rPr>
          <w:rFonts w:eastAsia="Times New Roman" w:cs="Arial"/>
          <w:color w:val="333333"/>
          <w:sz w:val="20"/>
          <w:szCs w:val="20"/>
        </w:rPr>
        <w:t>9</w:t>
      </w:r>
      <w:r w:rsidRPr="003F21DB">
        <w:rPr>
          <w:rFonts w:eastAsia="Times New Roman" w:cs="Arial"/>
          <w:color w:val="333333"/>
          <w:sz w:val="20"/>
          <w:szCs w:val="20"/>
        </w:rPr>
        <w:t>, this is from April 201</w:t>
      </w:r>
      <w:r w:rsidR="00FC3F37">
        <w:rPr>
          <w:rFonts w:eastAsia="Times New Roman" w:cs="Arial"/>
          <w:color w:val="333333"/>
          <w:sz w:val="20"/>
          <w:szCs w:val="20"/>
        </w:rPr>
        <w:t>7</w:t>
      </w:r>
      <w:r w:rsidRPr="003F21DB">
        <w:rPr>
          <w:rFonts w:eastAsia="Times New Roman" w:cs="Arial"/>
          <w:color w:val="333333"/>
          <w:sz w:val="20"/>
          <w:szCs w:val="20"/>
        </w:rPr>
        <w:t xml:space="preserve"> through March 201</w:t>
      </w:r>
      <w:r w:rsidR="00FC3F37">
        <w:rPr>
          <w:rFonts w:eastAsia="Times New Roman" w:cs="Arial"/>
          <w:color w:val="333333"/>
          <w:sz w:val="20"/>
          <w:szCs w:val="20"/>
        </w:rPr>
        <w:t>8</w:t>
      </w:r>
      <w:r w:rsidRPr="003F21DB">
        <w:rPr>
          <w:rFonts w:eastAsia="Times New Roman" w:cs="Arial"/>
          <w:color w:val="333333"/>
          <w:sz w:val="20"/>
          <w:szCs w:val="20"/>
        </w:rPr>
        <w:t>;</w:t>
      </w:r>
    </w:p>
    <w:p w:rsidR="00B9023B" w:rsidRPr="003F21DB" w:rsidRDefault="00B9023B" w:rsidP="00B9023B">
      <w:pPr>
        <w:numPr>
          <w:ilvl w:val="0"/>
          <w:numId w:val="1"/>
        </w:numPr>
        <w:spacing w:before="30" w:after="30" w:line="264" w:lineRule="atLeast"/>
        <w:ind w:left="0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>Business travel week data (Monday through Thursday)</w:t>
      </w:r>
      <w:r w:rsidR="00A53D44">
        <w:rPr>
          <w:rFonts w:eastAsia="Times New Roman" w:cs="Arial"/>
          <w:color w:val="333333"/>
          <w:sz w:val="20"/>
          <w:szCs w:val="20"/>
        </w:rPr>
        <w:t>.</w:t>
      </w:r>
    </w:p>
    <w:p w:rsidR="00B9023B" w:rsidRPr="003F21DB" w:rsidRDefault="00B9023B" w:rsidP="00B9023B">
      <w:pPr>
        <w:spacing w:before="240" w:after="240" w:line="240" w:lineRule="atLeast"/>
        <w:rPr>
          <w:rFonts w:eastAsia="Times New Roman" w:cs="Arial"/>
          <w:color w:val="333333"/>
          <w:sz w:val="20"/>
          <w:szCs w:val="20"/>
        </w:rPr>
      </w:pPr>
      <w:r w:rsidRPr="003F21DB">
        <w:rPr>
          <w:rFonts w:eastAsia="Times New Roman" w:cs="Arial"/>
          <w:color w:val="333333"/>
          <w:sz w:val="20"/>
          <w:szCs w:val="20"/>
        </w:rPr>
        <w:t xml:space="preserve">Agencies are reminded that the Federal Travel Regulation allows for actual expense reimbursement when per diem rates are insufficient to meet necessary expenses. Please see </w:t>
      </w:r>
      <w:hyperlink r:id="rId8" w:anchor="wp1089939" w:history="1">
        <w:r w:rsidRPr="003F21DB">
          <w:rPr>
            <w:rFonts w:eastAsia="Times New Roman" w:cs="Arial"/>
            <w:color w:val="282E8C"/>
            <w:sz w:val="20"/>
            <w:szCs w:val="20"/>
            <w:u w:val="single"/>
          </w:rPr>
          <w:t>FTR §301-11.300 through 306</w:t>
        </w:r>
      </w:hyperlink>
      <w:r w:rsidRPr="003F21DB">
        <w:rPr>
          <w:rFonts w:eastAsia="Times New Roman" w:cs="Arial"/>
          <w:color w:val="333333"/>
          <w:sz w:val="20"/>
          <w:szCs w:val="20"/>
        </w:rPr>
        <w:t xml:space="preserve"> for more information.</w:t>
      </w:r>
    </w:p>
    <w:p w:rsidR="009219B7" w:rsidRDefault="00B9023B" w:rsidP="003F21DB">
      <w:pPr>
        <w:rPr>
          <w:rFonts w:eastAsia="Times New Roman" w:cs="Arial"/>
          <w:sz w:val="20"/>
          <w:szCs w:val="20"/>
        </w:rPr>
      </w:pPr>
      <w:r w:rsidRPr="003F21DB">
        <w:rPr>
          <w:rFonts w:eastAsia="Times New Roman" w:cs="Arial"/>
          <w:b/>
          <w:bCs/>
          <w:color w:val="333333"/>
          <w:sz w:val="20"/>
          <w:szCs w:val="20"/>
        </w:rPr>
        <w:t xml:space="preserve">FY </w:t>
      </w:r>
      <w:r w:rsidR="00575995" w:rsidRPr="003F21DB">
        <w:rPr>
          <w:rFonts w:eastAsia="Times New Roman" w:cs="Arial"/>
          <w:b/>
          <w:bCs/>
          <w:color w:val="333333"/>
          <w:sz w:val="20"/>
          <w:szCs w:val="20"/>
        </w:rPr>
        <w:t>20</w:t>
      </w:r>
      <w:r w:rsidRPr="003F21DB">
        <w:rPr>
          <w:rFonts w:eastAsia="Times New Roman" w:cs="Arial"/>
          <w:b/>
          <w:bCs/>
          <w:color w:val="333333"/>
          <w:sz w:val="20"/>
          <w:szCs w:val="20"/>
        </w:rPr>
        <w:t>1</w:t>
      </w:r>
      <w:r w:rsidR="00FC3F37">
        <w:rPr>
          <w:rFonts w:eastAsia="Times New Roman" w:cs="Arial"/>
          <w:b/>
          <w:bCs/>
          <w:color w:val="333333"/>
          <w:sz w:val="20"/>
          <w:szCs w:val="20"/>
        </w:rPr>
        <w:t>9</w:t>
      </w:r>
      <w:r w:rsidRPr="003F21DB">
        <w:rPr>
          <w:rFonts w:eastAsia="Times New Roman" w:cs="Arial"/>
          <w:b/>
          <w:bCs/>
          <w:color w:val="333333"/>
          <w:sz w:val="20"/>
          <w:szCs w:val="20"/>
        </w:rPr>
        <w:t xml:space="preserve"> Results</w:t>
      </w:r>
      <w:proofErr w:type="gramStart"/>
      <w:r w:rsidRPr="003F21DB">
        <w:rPr>
          <w:rFonts w:eastAsia="Times New Roman" w:cs="Arial"/>
          <w:b/>
          <w:bCs/>
          <w:color w:val="333333"/>
          <w:sz w:val="20"/>
          <w:szCs w:val="20"/>
        </w:rPr>
        <w:t>:</w:t>
      </w:r>
      <w:proofErr w:type="gramEnd"/>
      <w:r w:rsidRPr="003F21DB">
        <w:rPr>
          <w:rFonts w:eastAsia="Times New Roman" w:cs="Arial"/>
          <w:color w:val="333333"/>
          <w:sz w:val="20"/>
          <w:szCs w:val="20"/>
        </w:rPr>
        <w:br/>
      </w:r>
      <w:r w:rsidRPr="003F21DB">
        <w:rPr>
          <w:rFonts w:eastAsia="Times New Roman" w:cs="Arial"/>
          <w:color w:val="333333"/>
          <w:sz w:val="20"/>
          <w:szCs w:val="20"/>
        </w:rPr>
        <w:br/>
      </w:r>
      <w:r w:rsidR="00FC3F37">
        <w:rPr>
          <w:rFonts w:eastAsia="Times New Roman" w:cs="Arial"/>
          <w:sz w:val="20"/>
          <w:szCs w:val="20"/>
        </w:rPr>
        <w:t xml:space="preserve">Marietta, GA </w:t>
      </w:r>
      <w:r w:rsidR="002C07AF">
        <w:rPr>
          <w:rFonts w:eastAsia="Times New Roman" w:cs="Arial"/>
          <w:sz w:val="20"/>
          <w:szCs w:val="20"/>
        </w:rPr>
        <w:t xml:space="preserve">(Cobb County) </w:t>
      </w:r>
      <w:r w:rsidR="00FC3F37">
        <w:rPr>
          <w:rFonts w:eastAsia="Times New Roman" w:cs="Arial"/>
          <w:sz w:val="20"/>
          <w:szCs w:val="20"/>
        </w:rPr>
        <w:t>is a new NSA l</w:t>
      </w:r>
      <w:r w:rsidR="0095712F">
        <w:rPr>
          <w:rFonts w:eastAsia="Times New Roman" w:cs="Arial"/>
          <w:sz w:val="20"/>
          <w:szCs w:val="20"/>
        </w:rPr>
        <w:t>ocation this year.</w:t>
      </w:r>
    </w:p>
    <w:p w:rsidR="009219B7" w:rsidRDefault="00B9023B" w:rsidP="00B9023B">
      <w:pPr>
        <w:spacing w:after="0" w:line="240" w:lineRule="atLeast"/>
        <w:rPr>
          <w:rFonts w:eastAsia="Times New Roman" w:cs="Arial"/>
          <w:sz w:val="20"/>
          <w:szCs w:val="20"/>
        </w:rPr>
      </w:pPr>
      <w:r w:rsidRPr="00286D45">
        <w:rPr>
          <w:rFonts w:eastAsia="Times New Roman" w:cs="Arial"/>
          <w:sz w:val="20"/>
          <w:szCs w:val="20"/>
        </w:rPr>
        <w:t>In FY 201</w:t>
      </w:r>
      <w:r w:rsidR="00FC3F37">
        <w:rPr>
          <w:rFonts w:eastAsia="Times New Roman" w:cs="Arial"/>
          <w:sz w:val="20"/>
          <w:szCs w:val="20"/>
        </w:rPr>
        <w:t>9</w:t>
      </w:r>
      <w:r w:rsidRPr="00286D45">
        <w:rPr>
          <w:rFonts w:eastAsia="Times New Roman" w:cs="Arial"/>
          <w:sz w:val="20"/>
          <w:szCs w:val="20"/>
        </w:rPr>
        <w:t xml:space="preserve">, </w:t>
      </w:r>
      <w:r w:rsidR="00185F93">
        <w:rPr>
          <w:rFonts w:eastAsia="Times New Roman" w:cs="Arial"/>
          <w:sz w:val="20"/>
          <w:szCs w:val="20"/>
        </w:rPr>
        <w:t>the following</w:t>
      </w:r>
      <w:r w:rsidR="0095712F">
        <w:rPr>
          <w:rFonts w:eastAsia="Times New Roman" w:cs="Arial"/>
          <w:sz w:val="20"/>
          <w:szCs w:val="20"/>
        </w:rPr>
        <w:t xml:space="preserve"> </w:t>
      </w:r>
      <w:r w:rsidRPr="00286D45">
        <w:rPr>
          <w:rFonts w:eastAsia="Times New Roman" w:cs="Arial"/>
          <w:sz w:val="20"/>
          <w:szCs w:val="20"/>
        </w:rPr>
        <w:t xml:space="preserve">locations </w:t>
      </w:r>
      <w:r w:rsidR="00575995" w:rsidRPr="00286D45">
        <w:rPr>
          <w:rFonts w:eastAsia="Times New Roman" w:cs="Arial"/>
          <w:sz w:val="20"/>
          <w:szCs w:val="20"/>
        </w:rPr>
        <w:t xml:space="preserve">that were NSAs </w:t>
      </w:r>
      <w:r w:rsidR="00185F93">
        <w:rPr>
          <w:rFonts w:eastAsia="Times New Roman" w:cs="Arial"/>
          <w:sz w:val="20"/>
          <w:szCs w:val="20"/>
        </w:rPr>
        <w:t xml:space="preserve">(or in an established NSA in the case of individual counties) </w:t>
      </w:r>
      <w:r w:rsidR="00575995" w:rsidRPr="00286D45">
        <w:rPr>
          <w:rFonts w:eastAsia="Times New Roman" w:cs="Arial"/>
          <w:sz w:val="20"/>
          <w:szCs w:val="20"/>
        </w:rPr>
        <w:t>in FY 201</w:t>
      </w:r>
      <w:r w:rsidR="00FC3F37">
        <w:rPr>
          <w:rFonts w:eastAsia="Times New Roman" w:cs="Arial"/>
          <w:sz w:val="20"/>
          <w:szCs w:val="20"/>
        </w:rPr>
        <w:t>8</w:t>
      </w:r>
      <w:r w:rsidR="00575995" w:rsidRPr="00286D45">
        <w:rPr>
          <w:rFonts w:eastAsia="Times New Roman" w:cs="Arial"/>
          <w:sz w:val="20"/>
          <w:szCs w:val="20"/>
        </w:rPr>
        <w:t xml:space="preserve"> will </w:t>
      </w:r>
      <w:r w:rsidRPr="00286D45">
        <w:rPr>
          <w:rFonts w:eastAsia="Times New Roman" w:cs="Arial"/>
          <w:sz w:val="20"/>
          <w:szCs w:val="20"/>
        </w:rPr>
        <w:t>move into th</w:t>
      </w:r>
      <w:r w:rsidR="00185F93">
        <w:rPr>
          <w:rFonts w:eastAsia="Times New Roman" w:cs="Arial"/>
          <w:sz w:val="20"/>
          <w:szCs w:val="20"/>
        </w:rPr>
        <w:t>e standard CONUS rate category:</w:t>
      </w:r>
    </w:p>
    <w:p w:rsidR="00185F93" w:rsidRDefault="00185F93" w:rsidP="00B9023B">
      <w:pPr>
        <w:spacing w:after="0" w:line="240" w:lineRule="atLeast"/>
        <w:rPr>
          <w:rFonts w:eastAsia="Times New Roman" w:cs="Arial"/>
          <w:sz w:val="20"/>
          <w:szCs w:val="20"/>
        </w:rPr>
      </w:pPr>
    </w:p>
    <w:tbl>
      <w:tblPr>
        <w:tblStyle w:val="LightList-Accent1"/>
        <w:tblW w:w="7200" w:type="dxa"/>
        <w:tblLook w:val="0420" w:firstRow="1" w:lastRow="0" w:firstColumn="0" w:lastColumn="0" w:noHBand="0" w:noVBand="1"/>
      </w:tblPr>
      <w:tblGrid>
        <w:gridCol w:w="7200"/>
      </w:tblGrid>
      <w:tr w:rsidR="009219B7" w:rsidRPr="009219B7" w:rsidTr="00185F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tcW w:w="7200" w:type="dxa"/>
            <w:hideMark/>
          </w:tcPr>
          <w:p w:rsidR="009219B7" w:rsidRPr="009219B7" w:rsidRDefault="005D4B2E" w:rsidP="009219B7">
            <w:pPr>
              <w:rPr>
                <w:rFonts w:eastAsia="Times New Roman" w:cs="Arial"/>
                <w:sz w:val="24"/>
                <w:szCs w:val="24"/>
              </w:rPr>
            </w:pPr>
            <w:r w:rsidRPr="005D4B2E">
              <w:rPr>
                <w:rFonts w:eastAsia="Times New Roman" w:cs="Arial"/>
                <w:bCs w:val="0"/>
                <w:kern w:val="24"/>
                <w:sz w:val="24"/>
                <w:szCs w:val="24"/>
              </w:rPr>
              <w:t>Destination/State</w:t>
            </w:r>
          </w:p>
        </w:tc>
      </w:tr>
      <w:tr w:rsidR="00185F93" w:rsidRPr="00DF2159" w:rsidTr="00185F9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  <w:hideMark/>
          </w:tcPr>
          <w:p w:rsidR="00185F93" w:rsidRPr="002C07AF" w:rsidRDefault="00185F93" w:rsidP="002C07AF">
            <w:pPr>
              <w:rPr>
                <w:b w:val="0"/>
              </w:rPr>
            </w:pPr>
            <w:r w:rsidRPr="002C07AF">
              <w:rPr>
                <w:b w:val="0"/>
              </w:rPr>
              <w:t xml:space="preserve">Shelby County, AL </w:t>
            </w:r>
          </w:p>
        </w:tc>
      </w:tr>
      <w:tr w:rsidR="00712065" w:rsidRPr="00DF2159" w:rsidTr="00185F93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</w:tcPr>
          <w:p w:rsidR="00712065" w:rsidRPr="002C07AF" w:rsidRDefault="00712065" w:rsidP="002C07AF">
            <w:pPr>
              <w:rPr>
                <w:b w:val="0"/>
              </w:rPr>
            </w:pPr>
            <w:r w:rsidRPr="002C07AF">
              <w:rPr>
                <w:b w:val="0"/>
              </w:rPr>
              <w:t>Little Rock, AR</w:t>
            </w:r>
          </w:p>
        </w:tc>
      </w:tr>
      <w:tr w:rsidR="00185F93" w:rsidRPr="00DF2159" w:rsidTr="00185F9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  <w:hideMark/>
          </w:tcPr>
          <w:p w:rsidR="00185F93" w:rsidRPr="002C07AF" w:rsidRDefault="00185F93" w:rsidP="002C07AF">
            <w:pPr>
              <w:rPr>
                <w:b w:val="0"/>
              </w:rPr>
            </w:pPr>
            <w:r w:rsidRPr="002C07AF">
              <w:rPr>
                <w:b w:val="0"/>
              </w:rPr>
              <w:t xml:space="preserve">Kings County, CA </w:t>
            </w:r>
          </w:p>
        </w:tc>
      </w:tr>
      <w:tr w:rsidR="00712065" w:rsidRPr="00DF2159" w:rsidTr="00185F93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</w:tcPr>
          <w:p w:rsidR="00712065" w:rsidRPr="002C07AF" w:rsidRDefault="00712065" w:rsidP="002C07AF">
            <w:pPr>
              <w:rPr>
                <w:b w:val="0"/>
              </w:rPr>
            </w:pPr>
            <w:r w:rsidRPr="002C07AF">
              <w:rPr>
                <w:b w:val="0"/>
              </w:rPr>
              <w:t>Bond/C</w:t>
            </w:r>
            <w:r w:rsidR="002C07AF">
              <w:rPr>
                <w:b w:val="0"/>
              </w:rPr>
              <w:t>alhoun/Clinton/Jersey/Macoupin/</w:t>
            </w:r>
            <w:r w:rsidRPr="002C07AF">
              <w:rPr>
                <w:b w:val="0"/>
              </w:rPr>
              <w:t>Madison/Monroe Counties, IL</w:t>
            </w:r>
          </w:p>
        </w:tc>
      </w:tr>
      <w:tr w:rsidR="00185F93" w:rsidRPr="00DF2159" w:rsidTr="00185F9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  <w:hideMark/>
          </w:tcPr>
          <w:p w:rsidR="00185F93" w:rsidRPr="002C07AF" w:rsidRDefault="00185F93" w:rsidP="002C07AF">
            <w:pPr>
              <w:rPr>
                <w:b w:val="0"/>
              </w:rPr>
            </w:pPr>
            <w:r w:rsidRPr="002C07AF">
              <w:rPr>
                <w:b w:val="0"/>
              </w:rPr>
              <w:t>Plaquemines</w:t>
            </w:r>
            <w:r w:rsidR="00236006" w:rsidRPr="002C07AF">
              <w:rPr>
                <w:b w:val="0"/>
              </w:rPr>
              <w:t>/</w:t>
            </w:r>
            <w:r w:rsidRPr="002C07AF">
              <w:rPr>
                <w:b w:val="0"/>
              </w:rPr>
              <w:t>St. Bernard Parishes, LA</w:t>
            </w:r>
          </w:p>
        </w:tc>
      </w:tr>
      <w:tr w:rsidR="00185F93" w:rsidRPr="00DF2159" w:rsidTr="00185F93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  <w:hideMark/>
          </w:tcPr>
          <w:p w:rsidR="00185F93" w:rsidRPr="002C07AF" w:rsidRDefault="00185F93" w:rsidP="002C07AF">
            <w:pPr>
              <w:rPr>
                <w:b w:val="0"/>
              </w:rPr>
            </w:pPr>
            <w:r w:rsidRPr="002C07AF">
              <w:rPr>
                <w:b w:val="0"/>
              </w:rPr>
              <w:t xml:space="preserve">Leelanau County, MI </w:t>
            </w:r>
          </w:p>
        </w:tc>
      </w:tr>
      <w:tr w:rsidR="00185F93" w:rsidRPr="00DF2159" w:rsidTr="00185F9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</w:tcPr>
          <w:p w:rsidR="00185F93" w:rsidRPr="002C07AF" w:rsidRDefault="00712065" w:rsidP="002C07AF">
            <w:pPr>
              <w:rPr>
                <w:b w:val="0"/>
              </w:rPr>
            </w:pPr>
            <w:r w:rsidRPr="002C07AF">
              <w:rPr>
                <w:b w:val="0"/>
              </w:rPr>
              <w:t>Crawford/Franklin/Jefferson/Lincoln/Warren/Washington Counties, MO</w:t>
            </w:r>
          </w:p>
        </w:tc>
      </w:tr>
      <w:tr w:rsidR="00185F93" w:rsidRPr="00DF2159" w:rsidTr="00185F93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  <w:hideMark/>
          </w:tcPr>
          <w:p w:rsidR="00185F93" w:rsidRPr="002C07AF" w:rsidRDefault="00712065" w:rsidP="002C07AF">
            <w:pPr>
              <w:rPr>
                <w:b w:val="0"/>
              </w:rPr>
            </w:pPr>
            <w:r w:rsidRPr="002C07AF">
              <w:rPr>
                <w:b w:val="0"/>
              </w:rPr>
              <w:t>Butte, MT</w:t>
            </w:r>
          </w:p>
        </w:tc>
      </w:tr>
      <w:tr w:rsidR="00712065" w:rsidRPr="00DF2159" w:rsidTr="00185F9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</w:tcPr>
          <w:p w:rsidR="00712065" w:rsidRPr="002C07AF" w:rsidRDefault="00712065" w:rsidP="002C07AF">
            <w:pPr>
              <w:rPr>
                <w:b w:val="0"/>
              </w:rPr>
            </w:pPr>
            <w:r w:rsidRPr="002C07AF">
              <w:rPr>
                <w:b w:val="0"/>
              </w:rPr>
              <w:t>Glendive/Sidney, MT</w:t>
            </w:r>
          </w:p>
        </w:tc>
      </w:tr>
      <w:tr w:rsidR="00712065" w:rsidRPr="00DF2159" w:rsidTr="00185F93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</w:tcPr>
          <w:p w:rsidR="00712065" w:rsidRPr="002C07AF" w:rsidRDefault="00712065" w:rsidP="002C07AF">
            <w:pPr>
              <w:rPr>
                <w:b w:val="0"/>
              </w:rPr>
            </w:pPr>
            <w:r w:rsidRPr="002C07AF">
              <w:rPr>
                <w:b w:val="0"/>
              </w:rPr>
              <w:lastRenderedPageBreak/>
              <w:t>Williston, ND</w:t>
            </w:r>
          </w:p>
        </w:tc>
      </w:tr>
      <w:tr w:rsidR="00185F93" w:rsidRPr="00DF2159" w:rsidTr="00185F9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  <w:hideMark/>
          </w:tcPr>
          <w:p w:rsidR="00185F93" w:rsidRPr="002C07AF" w:rsidRDefault="00185F93" w:rsidP="002C07AF">
            <w:pPr>
              <w:rPr>
                <w:b w:val="0"/>
              </w:rPr>
            </w:pPr>
            <w:r w:rsidRPr="002C07AF">
              <w:rPr>
                <w:b w:val="0"/>
              </w:rPr>
              <w:t>Sullivan County, NH</w:t>
            </w:r>
          </w:p>
        </w:tc>
      </w:tr>
      <w:tr w:rsidR="00712065" w:rsidRPr="00DF2159" w:rsidTr="00185F93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</w:tcPr>
          <w:p w:rsidR="00712065" w:rsidRPr="002C07AF" w:rsidRDefault="00712065" w:rsidP="002C07AF">
            <w:pPr>
              <w:rPr>
                <w:b w:val="0"/>
              </w:rPr>
            </w:pPr>
            <w:r w:rsidRPr="002C07AF">
              <w:rPr>
                <w:b w:val="0"/>
              </w:rPr>
              <w:t>Las Cruces, NM</w:t>
            </w:r>
          </w:p>
        </w:tc>
      </w:tr>
      <w:tr w:rsidR="00185F93" w:rsidRPr="00DF2159" w:rsidTr="00185F9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  <w:hideMark/>
          </w:tcPr>
          <w:p w:rsidR="00185F93" w:rsidRPr="002C07AF" w:rsidRDefault="00185F93" w:rsidP="002C07AF">
            <w:pPr>
              <w:rPr>
                <w:b w:val="0"/>
              </w:rPr>
            </w:pPr>
            <w:r w:rsidRPr="002C07AF">
              <w:rPr>
                <w:b w:val="0"/>
              </w:rPr>
              <w:t>Seneca County, NY</w:t>
            </w:r>
          </w:p>
        </w:tc>
      </w:tr>
      <w:tr w:rsidR="00712065" w:rsidRPr="00DF2159" w:rsidTr="0099105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noWrap/>
            <w:hideMark/>
          </w:tcPr>
          <w:p w:rsidR="00712065" w:rsidRPr="002C07AF" w:rsidRDefault="00712065" w:rsidP="002C07AF">
            <w:pPr>
              <w:rPr>
                <w:b w:val="0"/>
              </w:rPr>
            </w:pPr>
            <w:r w:rsidRPr="002C07AF">
              <w:rPr>
                <w:b w:val="0"/>
              </w:rPr>
              <w:t>Tioga County, NY</w:t>
            </w:r>
          </w:p>
        </w:tc>
      </w:tr>
      <w:tr w:rsidR="00185F93" w:rsidRPr="00185F93" w:rsidTr="0071206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hideMark/>
          </w:tcPr>
          <w:p w:rsidR="00185F93" w:rsidRPr="002C07AF" w:rsidRDefault="00185F93" w:rsidP="002C07AF">
            <w:pPr>
              <w:rPr>
                <w:rFonts w:eastAsia="Times New Roman"/>
                <w:b w:val="0"/>
              </w:rPr>
            </w:pPr>
            <w:r w:rsidRPr="002C07AF">
              <w:rPr>
                <w:b w:val="0"/>
              </w:rPr>
              <w:t>Huron</w:t>
            </w:r>
            <w:r w:rsidR="00712065" w:rsidRPr="002C07AF">
              <w:rPr>
                <w:b w:val="0"/>
              </w:rPr>
              <w:t>/</w:t>
            </w:r>
            <w:proofErr w:type="spellStart"/>
            <w:r w:rsidR="00712065" w:rsidRPr="002C07AF">
              <w:rPr>
                <w:b w:val="0"/>
              </w:rPr>
              <w:t>Darke</w:t>
            </w:r>
            <w:proofErr w:type="spellEnd"/>
            <w:r w:rsidR="00712065" w:rsidRPr="002C07AF">
              <w:rPr>
                <w:b w:val="0"/>
              </w:rPr>
              <w:t xml:space="preserve"> Counties</w:t>
            </w:r>
            <w:r w:rsidRPr="002C07AF">
              <w:rPr>
                <w:b w:val="0"/>
              </w:rPr>
              <w:t>, OH</w:t>
            </w:r>
          </w:p>
        </w:tc>
      </w:tr>
      <w:tr w:rsidR="00185F93" w:rsidRPr="00185F93" w:rsidTr="00712065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hideMark/>
          </w:tcPr>
          <w:p w:rsidR="00185F93" w:rsidRPr="002C07AF" w:rsidRDefault="00185F93" w:rsidP="002C07AF">
            <w:pPr>
              <w:rPr>
                <w:rFonts w:eastAsia="Times New Roman"/>
                <w:b w:val="0"/>
              </w:rPr>
            </w:pPr>
            <w:r w:rsidRPr="002C07AF">
              <w:rPr>
                <w:b w:val="0"/>
              </w:rPr>
              <w:t>Washington County, RI</w:t>
            </w:r>
          </w:p>
        </w:tc>
      </w:tr>
      <w:tr w:rsidR="00185F93" w:rsidRPr="00185F93" w:rsidTr="0071206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hideMark/>
          </w:tcPr>
          <w:p w:rsidR="00185F93" w:rsidRPr="002C07AF" w:rsidRDefault="00712065" w:rsidP="002C07AF">
            <w:pPr>
              <w:rPr>
                <w:rFonts w:eastAsia="Times New Roman"/>
                <w:b w:val="0"/>
              </w:rPr>
            </w:pPr>
            <w:r w:rsidRPr="002C07AF">
              <w:rPr>
                <w:b w:val="0"/>
              </w:rPr>
              <w:t>Butte/</w:t>
            </w:r>
            <w:r w:rsidR="00185F93" w:rsidRPr="002C07AF">
              <w:rPr>
                <w:b w:val="0"/>
              </w:rPr>
              <w:t>Mead Counties, SD</w:t>
            </w:r>
          </w:p>
        </w:tc>
      </w:tr>
      <w:tr w:rsidR="00185F93" w:rsidRPr="00185F93" w:rsidTr="002C07AF">
        <w:tblPrEx>
          <w:tblLook w:val="04A0" w:firstRow="1" w:lastRow="0" w:firstColumn="1" w:lastColumn="0" w:noHBand="0" w:noVBand="1"/>
        </w:tblPrEx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hideMark/>
          </w:tcPr>
          <w:p w:rsidR="00185F93" w:rsidRPr="002C07AF" w:rsidRDefault="00185F93" w:rsidP="002C07AF">
            <w:pPr>
              <w:rPr>
                <w:rFonts w:eastAsia="Times New Roman"/>
                <w:b w:val="0"/>
              </w:rPr>
            </w:pPr>
            <w:r w:rsidRPr="002C07AF">
              <w:rPr>
                <w:b w:val="0"/>
              </w:rPr>
              <w:t>Greene County, VA</w:t>
            </w:r>
            <w:bookmarkStart w:id="0" w:name="_GoBack"/>
            <w:bookmarkEnd w:id="0"/>
          </w:p>
        </w:tc>
      </w:tr>
      <w:tr w:rsidR="00712065" w:rsidRPr="00185F93" w:rsidTr="002C07A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:rsidR="00712065" w:rsidRPr="002C07AF" w:rsidRDefault="00712065" w:rsidP="002C07AF">
            <w:pPr>
              <w:rPr>
                <w:b w:val="0"/>
              </w:rPr>
            </w:pPr>
            <w:r w:rsidRPr="002C07AF">
              <w:rPr>
                <w:b w:val="0"/>
              </w:rPr>
              <w:t>Warrenton, VA</w:t>
            </w:r>
          </w:p>
        </w:tc>
      </w:tr>
      <w:tr w:rsidR="00185F93" w:rsidRPr="00185F93" w:rsidTr="002C07AF">
        <w:tblPrEx>
          <w:tblLook w:val="04A0" w:firstRow="1" w:lastRow="0" w:firstColumn="1" w:lastColumn="0" w:noHBand="0" w:noVBand="1"/>
        </w:tblPrEx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hideMark/>
          </w:tcPr>
          <w:p w:rsidR="00185F93" w:rsidRPr="002C07AF" w:rsidRDefault="00185F93" w:rsidP="002C07AF">
            <w:pPr>
              <w:rPr>
                <w:rFonts w:eastAsia="Times New Roman"/>
                <w:b w:val="0"/>
              </w:rPr>
            </w:pPr>
            <w:r w:rsidRPr="002C07AF">
              <w:rPr>
                <w:b w:val="0"/>
              </w:rPr>
              <w:t>Franklin</w:t>
            </w:r>
            <w:r w:rsidR="00712065" w:rsidRPr="002C07AF">
              <w:rPr>
                <w:b w:val="0"/>
              </w:rPr>
              <w:t>/</w:t>
            </w:r>
            <w:r w:rsidRPr="002C07AF">
              <w:rPr>
                <w:b w:val="0"/>
              </w:rPr>
              <w:t>Addison Counties, VT</w:t>
            </w:r>
          </w:p>
        </w:tc>
      </w:tr>
      <w:tr w:rsidR="00712065" w:rsidRPr="00185F93" w:rsidTr="002C07AF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</w:tcPr>
          <w:p w:rsidR="00712065" w:rsidRPr="002C07AF" w:rsidRDefault="00712065" w:rsidP="002C07AF">
            <w:pPr>
              <w:rPr>
                <w:b w:val="0"/>
              </w:rPr>
            </w:pPr>
            <w:r w:rsidRPr="002C07AF">
              <w:rPr>
                <w:b w:val="0"/>
              </w:rPr>
              <w:t>Wheeling, WV</w:t>
            </w:r>
          </w:p>
        </w:tc>
      </w:tr>
      <w:tr w:rsidR="00185F93" w:rsidRPr="00185F93" w:rsidTr="002C07AF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0" w:type="dxa"/>
            <w:hideMark/>
          </w:tcPr>
          <w:p w:rsidR="00185F93" w:rsidRPr="002C07AF" w:rsidRDefault="00185F93" w:rsidP="002C07AF">
            <w:pPr>
              <w:rPr>
                <w:rFonts w:eastAsia="Times New Roman"/>
                <w:b w:val="0"/>
              </w:rPr>
            </w:pPr>
            <w:r w:rsidRPr="002C07AF">
              <w:rPr>
                <w:b w:val="0"/>
              </w:rPr>
              <w:t>Uinta County, WY</w:t>
            </w:r>
          </w:p>
        </w:tc>
      </w:tr>
    </w:tbl>
    <w:p w:rsidR="00B71BE2" w:rsidRPr="005D4B2E" w:rsidRDefault="00B71BE2">
      <w:pPr>
        <w:rPr>
          <w:sz w:val="24"/>
          <w:szCs w:val="24"/>
        </w:rPr>
      </w:pPr>
    </w:p>
    <w:sectPr w:rsidR="00B71BE2" w:rsidRPr="005D4B2E" w:rsidSect="00B71B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026C2"/>
    <w:multiLevelType w:val="multilevel"/>
    <w:tmpl w:val="6848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3B"/>
    <w:rsid w:val="000538B9"/>
    <w:rsid w:val="000D4299"/>
    <w:rsid w:val="000F0D13"/>
    <w:rsid w:val="00185F93"/>
    <w:rsid w:val="00236006"/>
    <w:rsid w:val="00286D45"/>
    <w:rsid w:val="002C07AF"/>
    <w:rsid w:val="002D5291"/>
    <w:rsid w:val="003F21DB"/>
    <w:rsid w:val="0043439F"/>
    <w:rsid w:val="0051347D"/>
    <w:rsid w:val="00575995"/>
    <w:rsid w:val="005D4B2E"/>
    <w:rsid w:val="006B5011"/>
    <w:rsid w:val="00712065"/>
    <w:rsid w:val="007A4800"/>
    <w:rsid w:val="009219B7"/>
    <w:rsid w:val="0095712F"/>
    <w:rsid w:val="00A53D44"/>
    <w:rsid w:val="00A5534C"/>
    <w:rsid w:val="00A60771"/>
    <w:rsid w:val="00B11087"/>
    <w:rsid w:val="00B71BE2"/>
    <w:rsid w:val="00B9023B"/>
    <w:rsid w:val="00BD25CD"/>
    <w:rsid w:val="00C71BE8"/>
    <w:rsid w:val="00CA4ABC"/>
    <w:rsid w:val="00DF2159"/>
    <w:rsid w:val="00E2455B"/>
    <w:rsid w:val="00F02B96"/>
    <w:rsid w:val="00FB694D"/>
    <w:rsid w:val="00FC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BE2"/>
  </w:style>
  <w:style w:type="paragraph" w:styleId="Heading2">
    <w:name w:val="heading 2"/>
    <w:basedOn w:val="Normal"/>
    <w:link w:val="Heading2Char"/>
    <w:uiPriority w:val="9"/>
    <w:qFormat/>
    <w:rsid w:val="00B9023B"/>
    <w:pPr>
      <w:spacing w:after="0" w:line="264" w:lineRule="atLeast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023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023B"/>
    <w:rPr>
      <w:b/>
      <w:bCs/>
      <w:i w:val="0"/>
      <w:iCs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9023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21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D4B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5D4B2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BE2"/>
  </w:style>
  <w:style w:type="paragraph" w:styleId="Heading2">
    <w:name w:val="heading 2"/>
    <w:basedOn w:val="Normal"/>
    <w:link w:val="Heading2Char"/>
    <w:uiPriority w:val="9"/>
    <w:qFormat/>
    <w:rsid w:val="00B9023B"/>
    <w:pPr>
      <w:spacing w:after="0" w:line="264" w:lineRule="atLeast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023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023B"/>
    <w:rPr>
      <w:b/>
      <w:bCs/>
      <w:i w:val="0"/>
      <w:iCs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9023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21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D4B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5D4B2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5231">
              <w:marLeft w:val="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4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a.gov/portal/ext/public/site/FTR/file/Chapter301p011.html/category/2186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sfa.dhs.gov/applications/hot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sa.gov/portal/content/10198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3972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GSA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JillDenning</dc:creator>
  <cp:lastModifiedBy>Jill Denning</cp:lastModifiedBy>
  <cp:revision>4</cp:revision>
  <dcterms:created xsi:type="dcterms:W3CDTF">2018-07-27T20:41:00Z</dcterms:created>
  <dcterms:modified xsi:type="dcterms:W3CDTF">2018-07-30T18:18:00Z</dcterms:modified>
</cp:coreProperties>
</file>