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A40A2" w14:textId="77777777" w:rsidR="0074760C" w:rsidRDefault="0045718A">
      <w:pPr>
        <w:jc w:val="center"/>
        <w:rPr>
          <w:b/>
          <w:sz w:val="28"/>
          <w:szCs w:val="28"/>
        </w:rPr>
      </w:pPr>
      <w:bookmarkStart w:id="0" w:name="_gjdgxs" w:colFirst="0" w:colLast="0"/>
      <w:bookmarkEnd w:id="0"/>
      <w:r>
        <w:rPr>
          <w:b/>
          <w:sz w:val="28"/>
          <w:szCs w:val="28"/>
        </w:rPr>
        <w:t>FY 2019 Federal Real Property Profile Open Data Set</w:t>
      </w:r>
    </w:p>
    <w:p w14:paraId="517E55AD" w14:textId="77777777" w:rsidR="0074760C" w:rsidRDefault="0045718A">
      <w:pPr>
        <w:jc w:val="center"/>
        <w:rPr>
          <w:b/>
          <w:sz w:val="24"/>
          <w:szCs w:val="24"/>
        </w:rPr>
      </w:pPr>
      <w:r>
        <w:rPr>
          <w:b/>
          <w:sz w:val="28"/>
          <w:szCs w:val="28"/>
        </w:rPr>
        <w:t>Executive Summary</w:t>
      </w:r>
    </w:p>
    <w:p w14:paraId="76A9AAFB" w14:textId="77777777" w:rsidR="0074760C" w:rsidRDefault="0045718A">
      <w:pPr>
        <w:rPr>
          <w:sz w:val="26"/>
          <w:szCs w:val="26"/>
        </w:rPr>
      </w:pPr>
      <w:r>
        <w:rPr>
          <w:sz w:val="26"/>
          <w:szCs w:val="26"/>
        </w:rPr>
        <w:t xml:space="preserve"> </w:t>
      </w:r>
    </w:p>
    <w:p w14:paraId="661156EB" w14:textId="77777777" w:rsidR="0074760C" w:rsidRDefault="0045718A">
      <w:pPr>
        <w:spacing w:line="240" w:lineRule="auto"/>
        <w:rPr>
          <w:b/>
          <w:sz w:val="26"/>
          <w:szCs w:val="26"/>
        </w:rPr>
      </w:pPr>
      <w:r>
        <w:rPr>
          <w:b/>
          <w:sz w:val="26"/>
          <w:szCs w:val="26"/>
        </w:rPr>
        <w:t>Overview of the FY 2019 Results</w:t>
      </w:r>
    </w:p>
    <w:p w14:paraId="42405967" w14:textId="77777777" w:rsidR="0074760C" w:rsidRDefault="0074760C">
      <w:pPr>
        <w:spacing w:line="240" w:lineRule="auto"/>
        <w:rPr>
          <w:b/>
          <w:sz w:val="26"/>
          <w:szCs w:val="26"/>
        </w:rPr>
      </w:pPr>
    </w:p>
    <w:p w14:paraId="39B28AB4" w14:textId="77777777" w:rsidR="0074760C" w:rsidRDefault="0045718A">
      <w:pPr>
        <w:spacing w:line="240" w:lineRule="auto"/>
        <w:rPr>
          <w:sz w:val="24"/>
          <w:szCs w:val="24"/>
        </w:rPr>
      </w:pPr>
      <w:r>
        <w:rPr>
          <w:sz w:val="24"/>
          <w:szCs w:val="24"/>
        </w:rPr>
        <w:t>Executive Order (E.O.) 13327, Federal Real Property Asset Management (February 6, 2004), mandated the creation of a centralized real property database.  The requirement for the database was later enacted into law in the Federal Assets Sale and Transfer Act</w:t>
      </w:r>
      <w:r>
        <w:rPr>
          <w:sz w:val="24"/>
          <w:szCs w:val="24"/>
        </w:rPr>
        <w:t xml:space="preserve"> of 2016 (FASTA) (Pub. L. 114-287).  The General Services Administration (GSA) maintains the Federal Government’s database, known as the Federal Real Property Profile (FRPP) system, of all real property under the custody or control of executive branch agen</w:t>
      </w:r>
      <w:r>
        <w:rPr>
          <w:sz w:val="24"/>
          <w:szCs w:val="24"/>
        </w:rPr>
        <w:t>cies, except for property excluded for reasons of national security.</w:t>
      </w:r>
    </w:p>
    <w:p w14:paraId="117FDD68" w14:textId="77777777" w:rsidR="0074760C" w:rsidRDefault="0074760C">
      <w:pPr>
        <w:spacing w:line="240" w:lineRule="auto"/>
        <w:rPr>
          <w:b/>
          <w:sz w:val="24"/>
          <w:szCs w:val="24"/>
        </w:rPr>
      </w:pPr>
    </w:p>
    <w:p w14:paraId="715D933A" w14:textId="77777777" w:rsidR="0074760C" w:rsidRDefault="0045718A">
      <w:pPr>
        <w:spacing w:line="240" w:lineRule="auto"/>
        <w:rPr>
          <w:sz w:val="24"/>
          <w:szCs w:val="24"/>
        </w:rPr>
      </w:pPr>
      <w:r>
        <w:rPr>
          <w:sz w:val="24"/>
          <w:szCs w:val="24"/>
        </w:rPr>
        <w:t>FASTA requires that FRPP asset information, except for that data excluded by agencies for national security reasons or redacted under the Freedom of Information Act, be publicly accessib</w:t>
      </w:r>
      <w:r>
        <w:rPr>
          <w:sz w:val="24"/>
          <w:szCs w:val="24"/>
        </w:rPr>
        <w:t xml:space="preserve">le via the Web, in a </w:t>
      </w:r>
      <w:r>
        <w:rPr>
          <w:color w:val="222222"/>
          <w:sz w:val="24"/>
          <w:szCs w:val="24"/>
          <w:highlight w:val="white"/>
        </w:rPr>
        <w:t>searchable, downloadable, and machine-readable format.  GSA has made FRPP data for fiscal year (FY) 2016, FY 2017, FY 2018 and FY 2019 publicly accessible via GSA’s website.  The public data can be found at</w:t>
      </w:r>
      <w:hyperlink r:id="rId7">
        <w:r>
          <w:rPr>
            <w:sz w:val="24"/>
            <w:szCs w:val="24"/>
          </w:rPr>
          <w:t xml:space="preserve"> </w:t>
        </w:r>
      </w:hyperlink>
      <w:hyperlink r:id="rId8">
        <w:r>
          <w:rPr>
            <w:color w:val="1155CC"/>
            <w:sz w:val="24"/>
            <w:szCs w:val="24"/>
            <w:u w:val="single"/>
          </w:rPr>
          <w:t>publicFRPPdata.realpropertyprofile.gov</w:t>
        </w:r>
      </w:hyperlink>
      <w:r>
        <w:rPr>
          <w:sz w:val="24"/>
          <w:szCs w:val="24"/>
        </w:rPr>
        <w:t>.</w:t>
      </w:r>
    </w:p>
    <w:p w14:paraId="2DE61DF8" w14:textId="77777777" w:rsidR="0074760C" w:rsidRDefault="0074760C">
      <w:pPr>
        <w:spacing w:line="240" w:lineRule="auto"/>
        <w:rPr>
          <w:sz w:val="24"/>
          <w:szCs w:val="24"/>
        </w:rPr>
      </w:pPr>
    </w:p>
    <w:p w14:paraId="70187D58" w14:textId="77777777" w:rsidR="0074760C" w:rsidRDefault="0045718A">
      <w:pPr>
        <w:spacing w:line="240" w:lineRule="auto"/>
        <w:rPr>
          <w:sz w:val="24"/>
          <w:szCs w:val="24"/>
        </w:rPr>
      </w:pPr>
      <w:r>
        <w:rPr>
          <w:sz w:val="24"/>
          <w:szCs w:val="24"/>
        </w:rPr>
        <w:t xml:space="preserve">GSA is now publishing the FRPP Open Data Set for FY 2019. The data set provides a </w:t>
      </w:r>
      <w:proofErr w:type="gramStart"/>
      <w:r>
        <w:rPr>
          <w:sz w:val="24"/>
          <w:szCs w:val="24"/>
        </w:rPr>
        <w:t>high level</w:t>
      </w:r>
      <w:proofErr w:type="gramEnd"/>
      <w:r>
        <w:rPr>
          <w:sz w:val="24"/>
          <w:szCs w:val="24"/>
        </w:rPr>
        <w:t xml:space="preserve"> summary of the r</w:t>
      </w:r>
      <w:r>
        <w:rPr>
          <w:sz w:val="24"/>
          <w:szCs w:val="24"/>
        </w:rPr>
        <w:t xml:space="preserve">eal property inventory of the Federal Government at the end of FY 2019.  The FY 2019 FRPP Open Data Set is accessible online at </w:t>
      </w:r>
      <w:hyperlink r:id="rId9">
        <w:r>
          <w:rPr>
            <w:color w:val="1155CC"/>
            <w:sz w:val="24"/>
            <w:szCs w:val="24"/>
            <w:u w:val="single"/>
          </w:rPr>
          <w:t>www.gsa.gov/frppreport</w:t>
        </w:r>
      </w:hyperlink>
      <w:r>
        <w:rPr>
          <w:sz w:val="24"/>
          <w:szCs w:val="24"/>
        </w:rPr>
        <w:t>.</w:t>
      </w:r>
    </w:p>
    <w:p w14:paraId="768D9965" w14:textId="77777777" w:rsidR="0074760C" w:rsidRDefault="0074760C">
      <w:pPr>
        <w:spacing w:line="240" w:lineRule="auto"/>
        <w:rPr>
          <w:sz w:val="24"/>
          <w:szCs w:val="24"/>
        </w:rPr>
      </w:pPr>
    </w:p>
    <w:p w14:paraId="31429E6B" w14:textId="77777777" w:rsidR="0074760C" w:rsidRDefault="0045718A">
      <w:pPr>
        <w:spacing w:line="240" w:lineRule="auto"/>
        <w:rPr>
          <w:i/>
          <w:sz w:val="24"/>
          <w:szCs w:val="24"/>
        </w:rPr>
      </w:pPr>
      <w:r>
        <w:rPr>
          <w:i/>
          <w:sz w:val="24"/>
          <w:szCs w:val="24"/>
        </w:rPr>
        <w:t>Department of Defense</w:t>
      </w:r>
      <w:r>
        <w:rPr>
          <w:i/>
          <w:sz w:val="24"/>
          <w:szCs w:val="24"/>
          <w:vertAlign w:val="superscript"/>
        </w:rPr>
        <w:footnoteReference w:id="1"/>
      </w:r>
      <w:r>
        <w:rPr>
          <w:i/>
          <w:sz w:val="24"/>
          <w:szCs w:val="24"/>
        </w:rPr>
        <w:t xml:space="preserve"> (DoD) data was not included in</w:t>
      </w:r>
      <w:r>
        <w:rPr>
          <w:i/>
          <w:sz w:val="24"/>
          <w:szCs w:val="24"/>
        </w:rPr>
        <w:t xml:space="preserve"> the FRPP Open Data Set in FY 2017 or FY 2018.  DoD made progress in addressing data quality concerns and is included in FY 2019. As a result, comparisons between FY 2019 and previous years’ data is not recommended.</w:t>
      </w:r>
    </w:p>
    <w:p w14:paraId="63C449E8" w14:textId="77777777" w:rsidR="0074760C" w:rsidRDefault="0045718A">
      <w:pPr>
        <w:spacing w:line="240" w:lineRule="auto"/>
        <w:rPr>
          <w:b/>
          <w:sz w:val="26"/>
          <w:szCs w:val="26"/>
        </w:rPr>
      </w:pPr>
      <w:r>
        <w:rPr>
          <w:sz w:val="24"/>
          <w:szCs w:val="24"/>
        </w:rPr>
        <w:t xml:space="preserve"> </w:t>
      </w:r>
    </w:p>
    <w:p w14:paraId="7C543DB7" w14:textId="77777777" w:rsidR="0074760C" w:rsidRDefault="0045718A">
      <w:pPr>
        <w:spacing w:line="240" w:lineRule="auto"/>
        <w:rPr>
          <w:sz w:val="26"/>
          <w:szCs w:val="26"/>
        </w:rPr>
      </w:pPr>
      <w:r>
        <w:rPr>
          <w:b/>
          <w:sz w:val="26"/>
          <w:szCs w:val="26"/>
        </w:rPr>
        <w:t>Key Statistics</w:t>
      </w:r>
    </w:p>
    <w:p w14:paraId="46D0A006" w14:textId="77777777" w:rsidR="0074760C" w:rsidRDefault="0045718A">
      <w:pPr>
        <w:spacing w:line="240" w:lineRule="auto"/>
        <w:rPr>
          <w:sz w:val="24"/>
          <w:szCs w:val="24"/>
        </w:rPr>
      </w:pPr>
      <w:r>
        <w:rPr>
          <w:sz w:val="24"/>
          <w:szCs w:val="24"/>
        </w:rPr>
        <w:t>In FY 2019, Chief Finan</w:t>
      </w:r>
      <w:r>
        <w:rPr>
          <w:sz w:val="24"/>
          <w:szCs w:val="24"/>
        </w:rPr>
        <w:t>cial Officers (CFO) Act agencies had the following totals:</w:t>
      </w:r>
    </w:p>
    <w:p w14:paraId="4C97DA79" w14:textId="77777777" w:rsidR="0074760C" w:rsidRDefault="0045718A">
      <w:pPr>
        <w:numPr>
          <w:ilvl w:val="0"/>
          <w:numId w:val="2"/>
        </w:numPr>
        <w:spacing w:line="240" w:lineRule="auto"/>
        <w:rPr>
          <w:sz w:val="24"/>
          <w:szCs w:val="24"/>
        </w:rPr>
      </w:pPr>
      <w:r>
        <w:rPr>
          <w:sz w:val="24"/>
          <w:szCs w:val="24"/>
        </w:rPr>
        <w:t>286,773 buildings</w:t>
      </w:r>
    </w:p>
    <w:p w14:paraId="78A53B0E" w14:textId="77777777" w:rsidR="0074760C" w:rsidRDefault="0045718A">
      <w:pPr>
        <w:numPr>
          <w:ilvl w:val="0"/>
          <w:numId w:val="2"/>
        </w:numPr>
        <w:spacing w:line="240" w:lineRule="auto"/>
        <w:rPr>
          <w:sz w:val="24"/>
          <w:szCs w:val="24"/>
        </w:rPr>
      </w:pPr>
      <w:r>
        <w:rPr>
          <w:sz w:val="24"/>
          <w:szCs w:val="24"/>
        </w:rPr>
        <w:t>2.8 billion square feet of buildings</w:t>
      </w:r>
    </w:p>
    <w:p w14:paraId="75D785E3" w14:textId="77777777" w:rsidR="0074760C" w:rsidRDefault="0045718A">
      <w:pPr>
        <w:numPr>
          <w:ilvl w:val="0"/>
          <w:numId w:val="2"/>
        </w:numPr>
        <w:spacing w:line="240" w:lineRule="auto"/>
        <w:rPr>
          <w:sz w:val="24"/>
          <w:szCs w:val="24"/>
        </w:rPr>
      </w:pPr>
      <w:r>
        <w:rPr>
          <w:sz w:val="24"/>
          <w:szCs w:val="24"/>
        </w:rPr>
        <w:t>525,240 structures</w:t>
      </w:r>
    </w:p>
    <w:p w14:paraId="683854C4" w14:textId="77777777" w:rsidR="0074760C" w:rsidRDefault="0045718A">
      <w:pPr>
        <w:numPr>
          <w:ilvl w:val="0"/>
          <w:numId w:val="2"/>
        </w:numPr>
        <w:spacing w:line="240" w:lineRule="auto"/>
        <w:rPr>
          <w:sz w:val="24"/>
          <w:szCs w:val="24"/>
        </w:rPr>
      </w:pPr>
      <w:r>
        <w:rPr>
          <w:sz w:val="24"/>
          <w:szCs w:val="24"/>
        </w:rPr>
        <w:t>26.6 million acres land</w:t>
      </w:r>
    </w:p>
    <w:p w14:paraId="5418D46B" w14:textId="77777777" w:rsidR="0074760C" w:rsidRDefault="0074760C">
      <w:pPr>
        <w:spacing w:line="240" w:lineRule="auto"/>
        <w:ind w:left="720"/>
        <w:rPr>
          <w:sz w:val="24"/>
          <w:szCs w:val="24"/>
        </w:rPr>
      </w:pPr>
    </w:p>
    <w:p w14:paraId="5799F851" w14:textId="77777777" w:rsidR="0074760C" w:rsidRDefault="0074760C">
      <w:pPr>
        <w:spacing w:line="240" w:lineRule="auto"/>
        <w:ind w:left="720"/>
        <w:rPr>
          <w:sz w:val="24"/>
          <w:szCs w:val="24"/>
        </w:rPr>
      </w:pPr>
    </w:p>
    <w:tbl>
      <w:tblPr>
        <w:tblStyle w:val="a"/>
        <w:tblW w:w="10890" w:type="dxa"/>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980"/>
        <w:gridCol w:w="2040"/>
        <w:gridCol w:w="1755"/>
        <w:gridCol w:w="1710"/>
        <w:gridCol w:w="1905"/>
      </w:tblGrid>
      <w:tr w:rsidR="0074760C" w14:paraId="4CB2D532" w14:textId="77777777">
        <w:trPr>
          <w:trHeight w:val="620"/>
        </w:trPr>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2766" w14:textId="77777777" w:rsidR="0074760C" w:rsidRDefault="0045718A">
            <w:pPr>
              <w:widowControl w:val="0"/>
              <w:spacing w:line="240" w:lineRule="auto"/>
              <w:jc w:val="center"/>
              <w:rPr>
                <w:b/>
                <w:sz w:val="20"/>
                <w:szCs w:val="20"/>
              </w:rPr>
            </w:pPr>
            <w:r>
              <w:rPr>
                <w:b/>
                <w:sz w:val="20"/>
                <w:szCs w:val="20"/>
              </w:rPr>
              <w:t>Real Property Type</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C4414" w14:textId="77777777" w:rsidR="0074760C" w:rsidRDefault="0045718A">
            <w:pPr>
              <w:widowControl w:val="0"/>
              <w:spacing w:line="240" w:lineRule="auto"/>
              <w:jc w:val="center"/>
              <w:rPr>
                <w:b/>
                <w:sz w:val="20"/>
                <w:szCs w:val="20"/>
              </w:rPr>
            </w:pPr>
            <w:r>
              <w:rPr>
                <w:b/>
                <w:sz w:val="20"/>
                <w:szCs w:val="20"/>
              </w:rPr>
              <w:t xml:space="preserve"> Legal Interest</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7C8CCD" w14:textId="77777777" w:rsidR="0074760C" w:rsidRDefault="0045718A">
            <w:pPr>
              <w:widowControl w:val="0"/>
              <w:spacing w:line="240" w:lineRule="auto"/>
              <w:jc w:val="center"/>
              <w:rPr>
                <w:b/>
                <w:sz w:val="20"/>
                <w:szCs w:val="20"/>
              </w:rPr>
            </w:pPr>
            <w:r>
              <w:rPr>
                <w:b/>
                <w:sz w:val="20"/>
                <w:szCs w:val="20"/>
              </w:rPr>
              <w:t xml:space="preserve"> Owned </w:t>
            </w:r>
          </w:p>
        </w:tc>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296FF" w14:textId="77777777" w:rsidR="0074760C" w:rsidRDefault="0045718A">
            <w:pPr>
              <w:widowControl w:val="0"/>
              <w:spacing w:line="240" w:lineRule="auto"/>
              <w:jc w:val="center"/>
              <w:rPr>
                <w:b/>
                <w:sz w:val="20"/>
                <w:szCs w:val="20"/>
              </w:rPr>
            </w:pPr>
            <w:r>
              <w:rPr>
                <w:b/>
                <w:sz w:val="20"/>
                <w:szCs w:val="20"/>
              </w:rPr>
              <w:t>Leased</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79EA8" w14:textId="77777777" w:rsidR="0074760C" w:rsidRDefault="0045718A">
            <w:pPr>
              <w:widowControl w:val="0"/>
              <w:spacing w:line="240" w:lineRule="auto"/>
              <w:jc w:val="center"/>
              <w:rPr>
                <w:b/>
                <w:sz w:val="20"/>
                <w:szCs w:val="20"/>
              </w:rPr>
            </w:pPr>
            <w:r>
              <w:rPr>
                <w:b/>
                <w:sz w:val="20"/>
                <w:szCs w:val="20"/>
              </w:rPr>
              <w:t>Otherwise Managed</w:t>
            </w:r>
          </w:p>
        </w:t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E940F" w14:textId="77777777" w:rsidR="0074760C" w:rsidRDefault="0045718A">
            <w:pPr>
              <w:widowControl w:val="0"/>
              <w:spacing w:line="240" w:lineRule="auto"/>
              <w:jc w:val="center"/>
              <w:rPr>
                <w:b/>
                <w:sz w:val="20"/>
                <w:szCs w:val="20"/>
              </w:rPr>
            </w:pPr>
            <w:r>
              <w:rPr>
                <w:b/>
                <w:sz w:val="20"/>
                <w:szCs w:val="20"/>
              </w:rPr>
              <w:t>Total</w:t>
            </w:r>
          </w:p>
        </w:tc>
      </w:tr>
      <w:tr w:rsidR="0074760C" w14:paraId="2B4936C8" w14:textId="77777777">
        <w:tc>
          <w:tcPr>
            <w:tcW w:w="150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9BF87" w14:textId="77777777" w:rsidR="0074760C" w:rsidRDefault="0045718A">
            <w:pPr>
              <w:widowControl w:val="0"/>
              <w:spacing w:line="240" w:lineRule="auto"/>
              <w:rPr>
                <w:b/>
                <w:sz w:val="20"/>
                <w:szCs w:val="20"/>
              </w:rPr>
            </w:pPr>
            <w:r>
              <w:rPr>
                <w:b/>
                <w:sz w:val="20"/>
                <w:szCs w:val="20"/>
              </w:rPr>
              <w:t>Buildings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541C9" w14:textId="77777777" w:rsidR="0074760C" w:rsidRDefault="0045718A">
            <w:pPr>
              <w:widowControl w:val="0"/>
              <w:spacing w:line="240" w:lineRule="auto"/>
              <w:rPr>
                <w:b/>
                <w:sz w:val="20"/>
                <w:szCs w:val="20"/>
              </w:rPr>
            </w:pPr>
            <w:r>
              <w:rPr>
                <w:b/>
                <w:sz w:val="20"/>
                <w:szCs w:val="20"/>
              </w:rPr>
              <w:t>Total Number</w:t>
            </w:r>
          </w:p>
        </w:tc>
        <w:tc>
          <w:tcPr>
            <w:tcW w:w="2040" w:type="dxa"/>
            <w:tcMar>
              <w:top w:w="100" w:type="dxa"/>
              <w:left w:w="100" w:type="dxa"/>
              <w:bottom w:w="100" w:type="dxa"/>
              <w:right w:w="100" w:type="dxa"/>
            </w:tcMar>
          </w:tcPr>
          <w:p w14:paraId="0A598826" w14:textId="77777777" w:rsidR="0074760C" w:rsidRDefault="0045718A">
            <w:pPr>
              <w:widowControl w:val="0"/>
              <w:spacing w:line="240" w:lineRule="auto"/>
              <w:jc w:val="right"/>
              <w:rPr>
                <w:sz w:val="20"/>
                <w:szCs w:val="20"/>
              </w:rPr>
            </w:pPr>
            <w:r>
              <w:rPr>
                <w:sz w:val="20"/>
                <w:szCs w:val="20"/>
              </w:rPr>
              <w:t>253,294</w:t>
            </w:r>
          </w:p>
        </w:tc>
        <w:tc>
          <w:tcPr>
            <w:tcW w:w="1755" w:type="dxa"/>
            <w:tcMar>
              <w:top w:w="100" w:type="dxa"/>
              <w:left w:w="100" w:type="dxa"/>
              <w:bottom w:w="100" w:type="dxa"/>
              <w:right w:w="100" w:type="dxa"/>
            </w:tcMar>
          </w:tcPr>
          <w:p w14:paraId="27C8E243" w14:textId="77777777" w:rsidR="0074760C" w:rsidRDefault="0045718A">
            <w:pPr>
              <w:widowControl w:val="0"/>
              <w:spacing w:line="240" w:lineRule="auto"/>
              <w:jc w:val="right"/>
              <w:rPr>
                <w:sz w:val="20"/>
                <w:szCs w:val="20"/>
              </w:rPr>
            </w:pPr>
            <w:r>
              <w:rPr>
                <w:sz w:val="20"/>
                <w:szCs w:val="20"/>
              </w:rPr>
              <w:t>18,730</w:t>
            </w:r>
          </w:p>
        </w:tc>
        <w:tc>
          <w:tcPr>
            <w:tcW w:w="1710" w:type="dxa"/>
            <w:tcMar>
              <w:top w:w="100" w:type="dxa"/>
              <w:left w:w="100" w:type="dxa"/>
              <w:bottom w:w="100" w:type="dxa"/>
              <w:right w:w="100" w:type="dxa"/>
            </w:tcMar>
          </w:tcPr>
          <w:p w14:paraId="609CF09D" w14:textId="77777777" w:rsidR="0074760C" w:rsidRDefault="0045718A">
            <w:pPr>
              <w:widowControl w:val="0"/>
              <w:spacing w:line="240" w:lineRule="auto"/>
              <w:jc w:val="right"/>
              <w:rPr>
                <w:sz w:val="20"/>
                <w:szCs w:val="20"/>
              </w:rPr>
            </w:pPr>
            <w:r>
              <w:rPr>
                <w:sz w:val="20"/>
                <w:szCs w:val="20"/>
              </w:rPr>
              <w:t>14,749</w:t>
            </w:r>
          </w:p>
        </w:t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C7B3CA" w14:textId="77777777" w:rsidR="0074760C" w:rsidRDefault="0045718A">
            <w:pPr>
              <w:widowControl w:val="0"/>
              <w:spacing w:line="240" w:lineRule="auto"/>
              <w:jc w:val="right"/>
              <w:rPr>
                <w:sz w:val="20"/>
                <w:szCs w:val="20"/>
              </w:rPr>
            </w:pPr>
            <w:r>
              <w:rPr>
                <w:sz w:val="20"/>
                <w:szCs w:val="20"/>
              </w:rPr>
              <w:t>286,773</w:t>
            </w:r>
          </w:p>
        </w:tc>
      </w:tr>
      <w:tr w:rsidR="0074760C" w14:paraId="03C42F17" w14:textId="77777777">
        <w:tc>
          <w:tcPr>
            <w:tcW w:w="150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76DCD" w14:textId="77777777" w:rsidR="0074760C" w:rsidRDefault="0074760C">
            <w:pPr>
              <w:widowControl w:val="0"/>
              <w:pBdr>
                <w:top w:val="nil"/>
                <w:left w:val="nil"/>
                <w:bottom w:val="nil"/>
                <w:right w:val="nil"/>
                <w:between w:val="nil"/>
              </w:pBd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C0E77" w14:textId="77777777" w:rsidR="0074760C" w:rsidRDefault="0045718A">
            <w:pPr>
              <w:widowControl w:val="0"/>
              <w:spacing w:line="240" w:lineRule="auto"/>
              <w:rPr>
                <w:b/>
                <w:sz w:val="20"/>
                <w:szCs w:val="20"/>
              </w:rPr>
            </w:pPr>
            <w:r>
              <w:rPr>
                <w:b/>
                <w:sz w:val="20"/>
                <w:szCs w:val="20"/>
              </w:rPr>
              <w:t>Total Square Feet</w:t>
            </w:r>
          </w:p>
        </w:tc>
        <w:tc>
          <w:tcPr>
            <w:tcW w:w="2040" w:type="dxa"/>
            <w:shd w:val="clear" w:color="auto" w:fill="auto"/>
            <w:tcMar>
              <w:top w:w="100" w:type="dxa"/>
              <w:left w:w="100" w:type="dxa"/>
              <w:bottom w:w="100" w:type="dxa"/>
              <w:right w:w="100" w:type="dxa"/>
            </w:tcMar>
          </w:tcPr>
          <w:p w14:paraId="5A53BF86" w14:textId="77777777" w:rsidR="0074760C" w:rsidRDefault="0045718A">
            <w:pPr>
              <w:widowControl w:val="0"/>
              <w:spacing w:line="240" w:lineRule="auto"/>
              <w:jc w:val="right"/>
              <w:rPr>
                <w:sz w:val="20"/>
                <w:szCs w:val="20"/>
              </w:rPr>
            </w:pPr>
            <w:r>
              <w:rPr>
                <w:sz w:val="20"/>
                <w:szCs w:val="20"/>
              </w:rPr>
              <w:t>2,427,362,996</w:t>
            </w:r>
          </w:p>
        </w:tc>
        <w:tc>
          <w:tcPr>
            <w:tcW w:w="1755" w:type="dxa"/>
            <w:shd w:val="clear" w:color="auto" w:fill="auto"/>
            <w:tcMar>
              <w:top w:w="100" w:type="dxa"/>
              <w:left w:w="100" w:type="dxa"/>
              <w:bottom w:w="100" w:type="dxa"/>
              <w:right w:w="100" w:type="dxa"/>
            </w:tcMar>
          </w:tcPr>
          <w:p w14:paraId="59E75EC8" w14:textId="77777777" w:rsidR="0074760C" w:rsidRDefault="0045718A">
            <w:pPr>
              <w:widowControl w:val="0"/>
              <w:spacing w:line="240" w:lineRule="auto"/>
              <w:jc w:val="right"/>
              <w:rPr>
                <w:sz w:val="20"/>
                <w:szCs w:val="20"/>
              </w:rPr>
            </w:pPr>
            <w:r>
              <w:rPr>
                <w:sz w:val="20"/>
                <w:szCs w:val="20"/>
              </w:rPr>
              <w:t>286,138,047</w:t>
            </w:r>
          </w:p>
        </w:tc>
        <w:tc>
          <w:tcPr>
            <w:tcW w:w="1710" w:type="dxa"/>
            <w:shd w:val="clear" w:color="auto" w:fill="auto"/>
            <w:tcMar>
              <w:top w:w="100" w:type="dxa"/>
              <w:left w:w="100" w:type="dxa"/>
              <w:bottom w:w="100" w:type="dxa"/>
              <w:right w:w="100" w:type="dxa"/>
            </w:tcMar>
          </w:tcPr>
          <w:p w14:paraId="1C2BF61A" w14:textId="77777777" w:rsidR="0074760C" w:rsidRDefault="0045718A">
            <w:pPr>
              <w:widowControl w:val="0"/>
              <w:spacing w:line="240" w:lineRule="auto"/>
              <w:jc w:val="right"/>
              <w:rPr>
                <w:sz w:val="20"/>
                <w:szCs w:val="20"/>
              </w:rPr>
            </w:pPr>
            <w:r>
              <w:rPr>
                <w:sz w:val="20"/>
                <w:szCs w:val="20"/>
              </w:rPr>
              <w:t>118,697,677</w:t>
            </w:r>
          </w:p>
        </w:tc>
        <w:tc>
          <w:tcPr>
            <w:tcW w:w="1905" w:type="dxa"/>
            <w:shd w:val="clear" w:color="auto" w:fill="auto"/>
            <w:tcMar>
              <w:top w:w="100" w:type="dxa"/>
              <w:left w:w="100" w:type="dxa"/>
              <w:bottom w:w="100" w:type="dxa"/>
              <w:right w:w="100" w:type="dxa"/>
            </w:tcMar>
          </w:tcPr>
          <w:p w14:paraId="5D8CF5F2" w14:textId="77777777" w:rsidR="0074760C" w:rsidRDefault="0045718A">
            <w:pPr>
              <w:widowControl w:val="0"/>
              <w:spacing w:line="240" w:lineRule="auto"/>
              <w:jc w:val="right"/>
              <w:rPr>
                <w:sz w:val="20"/>
                <w:szCs w:val="20"/>
              </w:rPr>
            </w:pPr>
            <w:r>
              <w:rPr>
                <w:sz w:val="20"/>
                <w:szCs w:val="20"/>
              </w:rPr>
              <w:t>2,832,198,721</w:t>
            </w:r>
          </w:p>
        </w:tc>
      </w:tr>
      <w:tr w:rsidR="0074760C" w14:paraId="635D838C" w14:textId="77777777">
        <w:tc>
          <w:tcPr>
            <w:tcW w:w="150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F4798" w14:textId="77777777" w:rsidR="0074760C" w:rsidRDefault="0074760C">
            <w:pPr>
              <w:widowControl w:val="0"/>
              <w:pBdr>
                <w:top w:val="nil"/>
                <w:left w:val="nil"/>
                <w:bottom w:val="nil"/>
                <w:right w:val="nil"/>
                <w:between w:val="nil"/>
              </w:pBd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7A5B93" w14:textId="77777777" w:rsidR="0074760C" w:rsidRDefault="0045718A">
            <w:pPr>
              <w:widowControl w:val="0"/>
              <w:spacing w:line="240" w:lineRule="auto"/>
              <w:rPr>
                <w:b/>
                <w:sz w:val="20"/>
                <w:szCs w:val="20"/>
              </w:rPr>
            </w:pPr>
            <w:r>
              <w:rPr>
                <w:b/>
                <w:sz w:val="20"/>
                <w:szCs w:val="20"/>
              </w:rPr>
              <w:t>Total Annual Costs</w:t>
            </w:r>
            <w:r>
              <w:rPr>
                <w:b/>
                <w:sz w:val="20"/>
                <w:szCs w:val="20"/>
                <w:vertAlign w:val="superscript"/>
              </w:rPr>
              <w:footnoteReference w:id="2"/>
            </w:r>
          </w:p>
        </w:tc>
        <w:tc>
          <w:tcPr>
            <w:tcW w:w="2040" w:type="dxa"/>
            <w:shd w:val="clear" w:color="auto" w:fill="auto"/>
            <w:tcMar>
              <w:top w:w="100" w:type="dxa"/>
              <w:left w:w="100" w:type="dxa"/>
              <w:bottom w:w="100" w:type="dxa"/>
              <w:right w:w="100" w:type="dxa"/>
            </w:tcMar>
          </w:tcPr>
          <w:p w14:paraId="5517E992" w14:textId="77777777" w:rsidR="0074760C" w:rsidRDefault="0045718A">
            <w:pPr>
              <w:widowControl w:val="0"/>
              <w:spacing w:line="240" w:lineRule="auto"/>
              <w:jc w:val="right"/>
              <w:rPr>
                <w:sz w:val="20"/>
                <w:szCs w:val="20"/>
              </w:rPr>
            </w:pPr>
            <w:r>
              <w:rPr>
                <w:sz w:val="20"/>
                <w:szCs w:val="20"/>
              </w:rPr>
              <w:t>$15,758,232,320</w:t>
            </w:r>
          </w:p>
        </w:tc>
        <w:tc>
          <w:tcPr>
            <w:tcW w:w="1755" w:type="dxa"/>
            <w:shd w:val="clear" w:color="auto" w:fill="auto"/>
            <w:tcMar>
              <w:top w:w="100" w:type="dxa"/>
              <w:left w:w="100" w:type="dxa"/>
              <w:bottom w:w="100" w:type="dxa"/>
              <w:right w:w="100" w:type="dxa"/>
            </w:tcMar>
          </w:tcPr>
          <w:p w14:paraId="116877B5" w14:textId="77777777" w:rsidR="0074760C" w:rsidRDefault="0045718A">
            <w:pPr>
              <w:widowControl w:val="0"/>
              <w:spacing w:line="240" w:lineRule="auto"/>
              <w:jc w:val="right"/>
              <w:rPr>
                <w:sz w:val="20"/>
                <w:szCs w:val="20"/>
              </w:rPr>
            </w:pPr>
            <w:r>
              <w:rPr>
                <w:sz w:val="20"/>
                <w:szCs w:val="20"/>
              </w:rPr>
              <w:t>$7,630,461,963</w:t>
            </w:r>
          </w:p>
        </w:tc>
        <w:tc>
          <w:tcPr>
            <w:tcW w:w="1710" w:type="dxa"/>
            <w:shd w:val="clear" w:color="auto" w:fill="auto"/>
            <w:tcMar>
              <w:top w:w="100" w:type="dxa"/>
              <w:left w:w="100" w:type="dxa"/>
              <w:bottom w:w="100" w:type="dxa"/>
              <w:right w:w="100" w:type="dxa"/>
            </w:tcMar>
          </w:tcPr>
          <w:p w14:paraId="6FC52348" w14:textId="77777777" w:rsidR="0074760C" w:rsidRDefault="0045718A">
            <w:pPr>
              <w:widowControl w:val="0"/>
              <w:spacing w:line="240" w:lineRule="auto"/>
              <w:jc w:val="right"/>
              <w:rPr>
                <w:sz w:val="20"/>
                <w:szCs w:val="20"/>
              </w:rPr>
            </w:pPr>
            <w:r>
              <w:rPr>
                <w:sz w:val="20"/>
                <w:szCs w:val="20"/>
              </w:rPr>
              <w:t>$598,113,698</w:t>
            </w:r>
          </w:p>
        </w:tc>
        <w:tc>
          <w:tcPr>
            <w:tcW w:w="1905" w:type="dxa"/>
            <w:shd w:val="clear" w:color="auto" w:fill="auto"/>
            <w:tcMar>
              <w:top w:w="100" w:type="dxa"/>
              <w:left w:w="100" w:type="dxa"/>
              <w:bottom w:w="100" w:type="dxa"/>
              <w:right w:w="100" w:type="dxa"/>
            </w:tcMar>
          </w:tcPr>
          <w:p w14:paraId="78E77AC3" w14:textId="77777777" w:rsidR="0074760C" w:rsidRDefault="0045718A">
            <w:pPr>
              <w:widowControl w:val="0"/>
              <w:spacing w:line="240" w:lineRule="auto"/>
              <w:jc w:val="right"/>
              <w:rPr>
                <w:sz w:val="20"/>
                <w:szCs w:val="20"/>
              </w:rPr>
            </w:pPr>
            <w:r>
              <w:rPr>
                <w:sz w:val="20"/>
                <w:szCs w:val="20"/>
              </w:rPr>
              <w:t>$23,986,807,980</w:t>
            </w:r>
          </w:p>
        </w:tc>
      </w:tr>
      <w:tr w:rsidR="0074760C" w14:paraId="4FFA2E27" w14:textId="77777777">
        <w:tc>
          <w:tcPr>
            <w:tcW w:w="150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8C83AE" w14:textId="77777777" w:rsidR="0074760C" w:rsidRDefault="0045718A">
            <w:pPr>
              <w:widowControl w:val="0"/>
              <w:spacing w:line="240" w:lineRule="auto"/>
              <w:rPr>
                <w:b/>
                <w:sz w:val="20"/>
                <w:szCs w:val="20"/>
              </w:rPr>
            </w:pPr>
            <w:r>
              <w:rPr>
                <w:b/>
                <w:sz w:val="20"/>
                <w:szCs w:val="20"/>
              </w:rPr>
              <w:t>Structures</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A45A51" w14:textId="77777777" w:rsidR="0074760C" w:rsidRDefault="0045718A">
            <w:pPr>
              <w:widowControl w:val="0"/>
              <w:spacing w:line="240" w:lineRule="auto"/>
              <w:rPr>
                <w:b/>
                <w:sz w:val="20"/>
                <w:szCs w:val="20"/>
              </w:rPr>
            </w:pPr>
            <w:r>
              <w:rPr>
                <w:b/>
                <w:sz w:val="20"/>
                <w:szCs w:val="20"/>
              </w:rPr>
              <w:t>Total Number</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9A06E" w14:textId="77777777" w:rsidR="0074760C" w:rsidRDefault="0045718A">
            <w:pPr>
              <w:widowControl w:val="0"/>
              <w:spacing w:line="240" w:lineRule="auto"/>
              <w:jc w:val="right"/>
              <w:rPr>
                <w:sz w:val="20"/>
                <w:szCs w:val="20"/>
              </w:rPr>
            </w:pPr>
            <w:r>
              <w:rPr>
                <w:sz w:val="20"/>
                <w:szCs w:val="20"/>
              </w:rPr>
              <w:t>439,749</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C6EFB" w14:textId="77777777" w:rsidR="0074760C" w:rsidRDefault="0045718A">
            <w:pPr>
              <w:widowControl w:val="0"/>
              <w:spacing w:line="240" w:lineRule="auto"/>
              <w:jc w:val="right"/>
              <w:rPr>
                <w:sz w:val="20"/>
                <w:szCs w:val="20"/>
              </w:rPr>
            </w:pPr>
            <w:r>
              <w:rPr>
                <w:sz w:val="20"/>
                <w:szCs w:val="20"/>
              </w:rPr>
              <w:t>3,292</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3A76EA" w14:textId="77777777" w:rsidR="0074760C" w:rsidRDefault="0045718A">
            <w:pPr>
              <w:widowControl w:val="0"/>
              <w:spacing w:line="240" w:lineRule="auto"/>
              <w:jc w:val="right"/>
              <w:rPr>
                <w:sz w:val="20"/>
                <w:szCs w:val="20"/>
              </w:rPr>
            </w:pPr>
            <w:r>
              <w:rPr>
                <w:sz w:val="20"/>
                <w:szCs w:val="20"/>
              </w:rPr>
              <w:t>82,199</w:t>
            </w:r>
          </w:p>
        </w:tc>
        <w:tc>
          <w:tcPr>
            <w:tcW w:w="19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0BFC9" w14:textId="77777777" w:rsidR="0074760C" w:rsidRDefault="0045718A">
            <w:pPr>
              <w:widowControl w:val="0"/>
              <w:spacing w:line="240" w:lineRule="auto"/>
              <w:jc w:val="right"/>
              <w:rPr>
                <w:sz w:val="20"/>
                <w:szCs w:val="20"/>
              </w:rPr>
            </w:pPr>
            <w:r>
              <w:rPr>
                <w:sz w:val="20"/>
                <w:szCs w:val="20"/>
              </w:rPr>
              <w:t>525,240</w:t>
            </w:r>
          </w:p>
        </w:tc>
      </w:tr>
      <w:tr w:rsidR="0074760C" w14:paraId="7A788F5B" w14:textId="77777777">
        <w:tc>
          <w:tcPr>
            <w:tcW w:w="15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C9677B" w14:textId="77777777" w:rsidR="0074760C" w:rsidRDefault="0074760C">
            <w:pPr>
              <w:widowControl w:val="0"/>
              <w:pBdr>
                <w:top w:val="nil"/>
                <w:left w:val="nil"/>
                <w:bottom w:val="nil"/>
                <w:right w:val="nil"/>
                <w:between w:val="nil"/>
              </w:pBd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3C74F" w14:textId="77777777" w:rsidR="0074760C" w:rsidRDefault="0045718A">
            <w:pPr>
              <w:widowControl w:val="0"/>
              <w:spacing w:line="240" w:lineRule="auto"/>
              <w:rPr>
                <w:b/>
                <w:sz w:val="20"/>
                <w:szCs w:val="20"/>
              </w:rPr>
            </w:pPr>
            <w:r>
              <w:rPr>
                <w:b/>
                <w:sz w:val="20"/>
                <w:szCs w:val="20"/>
              </w:rPr>
              <w:t>Total Annual Costs</w:t>
            </w:r>
          </w:p>
        </w:tc>
        <w:tc>
          <w:tcPr>
            <w:tcW w:w="2040" w:type="dxa"/>
            <w:shd w:val="clear" w:color="auto" w:fill="auto"/>
            <w:tcMar>
              <w:top w:w="100" w:type="dxa"/>
              <w:left w:w="100" w:type="dxa"/>
              <w:bottom w:w="100" w:type="dxa"/>
              <w:right w:w="100" w:type="dxa"/>
            </w:tcMar>
          </w:tcPr>
          <w:p w14:paraId="2851CB36" w14:textId="77777777" w:rsidR="0074760C" w:rsidRDefault="0045718A">
            <w:pPr>
              <w:widowControl w:val="0"/>
              <w:spacing w:line="240" w:lineRule="auto"/>
              <w:jc w:val="right"/>
              <w:rPr>
                <w:sz w:val="20"/>
                <w:szCs w:val="20"/>
              </w:rPr>
            </w:pPr>
            <w:r>
              <w:rPr>
                <w:sz w:val="20"/>
                <w:szCs w:val="20"/>
              </w:rPr>
              <w:t>$11,867,791,289</w:t>
            </w:r>
          </w:p>
        </w:tc>
        <w:tc>
          <w:tcPr>
            <w:tcW w:w="1755" w:type="dxa"/>
            <w:shd w:val="clear" w:color="auto" w:fill="auto"/>
            <w:tcMar>
              <w:top w:w="100" w:type="dxa"/>
              <w:left w:w="100" w:type="dxa"/>
              <w:bottom w:w="100" w:type="dxa"/>
              <w:right w:w="100" w:type="dxa"/>
            </w:tcMar>
          </w:tcPr>
          <w:p w14:paraId="64EDA238" w14:textId="77777777" w:rsidR="0074760C" w:rsidRDefault="0045718A">
            <w:pPr>
              <w:widowControl w:val="0"/>
              <w:spacing w:line="240" w:lineRule="auto"/>
              <w:jc w:val="right"/>
              <w:rPr>
                <w:sz w:val="20"/>
                <w:szCs w:val="20"/>
              </w:rPr>
            </w:pPr>
            <w:r>
              <w:rPr>
                <w:sz w:val="20"/>
                <w:szCs w:val="20"/>
              </w:rPr>
              <w:t>$64,360,303</w:t>
            </w:r>
          </w:p>
        </w:tc>
        <w:tc>
          <w:tcPr>
            <w:tcW w:w="1710" w:type="dxa"/>
            <w:shd w:val="clear" w:color="auto" w:fill="auto"/>
            <w:tcMar>
              <w:top w:w="100" w:type="dxa"/>
              <w:left w:w="100" w:type="dxa"/>
              <w:bottom w:w="100" w:type="dxa"/>
              <w:right w:w="100" w:type="dxa"/>
            </w:tcMar>
          </w:tcPr>
          <w:p w14:paraId="0B7522C0" w14:textId="77777777" w:rsidR="0074760C" w:rsidRDefault="0045718A">
            <w:pPr>
              <w:widowControl w:val="0"/>
              <w:spacing w:line="240" w:lineRule="auto"/>
              <w:jc w:val="right"/>
              <w:rPr>
                <w:sz w:val="20"/>
                <w:szCs w:val="20"/>
              </w:rPr>
            </w:pPr>
            <w:r>
              <w:rPr>
                <w:sz w:val="20"/>
                <w:szCs w:val="20"/>
              </w:rPr>
              <w:t>$155,702,455</w:t>
            </w:r>
          </w:p>
        </w:tc>
        <w:tc>
          <w:tcPr>
            <w:tcW w:w="1905" w:type="dxa"/>
            <w:shd w:val="clear" w:color="auto" w:fill="auto"/>
            <w:tcMar>
              <w:top w:w="100" w:type="dxa"/>
              <w:left w:w="100" w:type="dxa"/>
              <w:bottom w:w="100" w:type="dxa"/>
              <w:right w:w="100" w:type="dxa"/>
            </w:tcMar>
          </w:tcPr>
          <w:p w14:paraId="27C2E283" w14:textId="77777777" w:rsidR="0074760C" w:rsidRDefault="0045718A">
            <w:pPr>
              <w:widowControl w:val="0"/>
              <w:spacing w:line="240" w:lineRule="auto"/>
              <w:jc w:val="right"/>
              <w:rPr>
                <w:sz w:val="20"/>
                <w:szCs w:val="20"/>
              </w:rPr>
            </w:pPr>
            <w:r>
              <w:rPr>
                <w:sz w:val="20"/>
                <w:szCs w:val="20"/>
              </w:rPr>
              <w:t>$12,087,854,047</w:t>
            </w:r>
          </w:p>
        </w:tc>
      </w:tr>
      <w:tr w:rsidR="0074760C" w14:paraId="0002C4F0" w14:textId="77777777">
        <w:tc>
          <w:tcPr>
            <w:tcW w:w="150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0991B" w14:textId="77777777" w:rsidR="0074760C" w:rsidRDefault="0045718A">
            <w:pPr>
              <w:widowControl w:val="0"/>
              <w:spacing w:line="240" w:lineRule="auto"/>
              <w:rPr>
                <w:b/>
                <w:sz w:val="20"/>
                <w:szCs w:val="20"/>
              </w:rPr>
            </w:pPr>
            <w:r>
              <w:rPr>
                <w:b/>
                <w:sz w:val="20"/>
                <w:szCs w:val="20"/>
              </w:rPr>
              <w:t>Land</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E952C" w14:textId="77777777" w:rsidR="0074760C" w:rsidRDefault="0045718A">
            <w:pPr>
              <w:widowControl w:val="0"/>
              <w:spacing w:line="240" w:lineRule="auto"/>
              <w:rPr>
                <w:b/>
                <w:sz w:val="20"/>
                <w:szCs w:val="20"/>
              </w:rPr>
            </w:pPr>
            <w:r>
              <w:rPr>
                <w:b/>
                <w:sz w:val="20"/>
                <w:szCs w:val="20"/>
              </w:rPr>
              <w:t>Total Acres</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D9645" w14:textId="77777777" w:rsidR="0074760C" w:rsidRDefault="0045718A">
            <w:pPr>
              <w:widowControl w:val="0"/>
              <w:spacing w:line="240" w:lineRule="auto"/>
              <w:jc w:val="right"/>
              <w:rPr>
                <w:sz w:val="20"/>
                <w:szCs w:val="20"/>
              </w:rPr>
            </w:pPr>
            <w:r>
              <w:rPr>
                <w:sz w:val="20"/>
                <w:szCs w:val="20"/>
              </w:rPr>
              <w:t>18,805,159</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AB460" w14:textId="77777777" w:rsidR="0074760C" w:rsidRDefault="0045718A">
            <w:pPr>
              <w:widowControl w:val="0"/>
              <w:spacing w:line="240" w:lineRule="auto"/>
              <w:jc w:val="right"/>
              <w:rPr>
                <w:sz w:val="20"/>
                <w:szCs w:val="20"/>
              </w:rPr>
            </w:pPr>
            <w:r>
              <w:rPr>
                <w:sz w:val="20"/>
                <w:szCs w:val="20"/>
              </w:rPr>
              <w:t>1,361,866</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6A283" w14:textId="77777777" w:rsidR="0074760C" w:rsidRDefault="0045718A">
            <w:pPr>
              <w:widowControl w:val="0"/>
              <w:spacing w:line="240" w:lineRule="auto"/>
              <w:jc w:val="right"/>
              <w:rPr>
                <w:sz w:val="20"/>
                <w:szCs w:val="20"/>
              </w:rPr>
            </w:pPr>
            <w:r>
              <w:rPr>
                <w:sz w:val="20"/>
                <w:szCs w:val="20"/>
              </w:rPr>
              <w:t>6,404,414</w:t>
            </w:r>
          </w:p>
        </w:tc>
        <w:tc>
          <w:tcPr>
            <w:tcW w:w="19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55B0C" w14:textId="77777777" w:rsidR="0074760C" w:rsidRDefault="0045718A">
            <w:pPr>
              <w:widowControl w:val="0"/>
              <w:spacing w:line="240" w:lineRule="auto"/>
              <w:jc w:val="right"/>
              <w:rPr>
                <w:sz w:val="20"/>
                <w:szCs w:val="20"/>
              </w:rPr>
            </w:pPr>
            <w:r>
              <w:rPr>
                <w:sz w:val="20"/>
                <w:szCs w:val="20"/>
              </w:rPr>
              <w:t>26,571,439</w:t>
            </w:r>
          </w:p>
        </w:tc>
      </w:tr>
      <w:tr w:rsidR="0074760C" w14:paraId="5D267A46" w14:textId="77777777">
        <w:tc>
          <w:tcPr>
            <w:tcW w:w="15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9DC1F" w14:textId="77777777" w:rsidR="0074760C" w:rsidRDefault="0074760C">
            <w:pPr>
              <w:widowControl w:val="0"/>
              <w:pBdr>
                <w:top w:val="nil"/>
                <w:left w:val="nil"/>
                <w:bottom w:val="nil"/>
                <w:right w:val="nil"/>
                <w:between w:val="nil"/>
              </w:pBd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E35D3" w14:textId="77777777" w:rsidR="0074760C" w:rsidRDefault="0045718A">
            <w:pPr>
              <w:widowControl w:val="0"/>
              <w:spacing w:line="240" w:lineRule="auto"/>
              <w:rPr>
                <w:b/>
                <w:sz w:val="20"/>
                <w:szCs w:val="20"/>
              </w:rPr>
            </w:pPr>
            <w:r>
              <w:rPr>
                <w:b/>
                <w:sz w:val="20"/>
                <w:szCs w:val="20"/>
              </w:rPr>
              <w:t>Total Annual Costs</w:t>
            </w:r>
          </w:p>
        </w:tc>
        <w:tc>
          <w:tcPr>
            <w:tcW w:w="2040" w:type="dxa"/>
            <w:shd w:val="clear" w:color="auto" w:fill="auto"/>
            <w:tcMar>
              <w:top w:w="100" w:type="dxa"/>
              <w:left w:w="100" w:type="dxa"/>
              <w:bottom w:w="100" w:type="dxa"/>
              <w:right w:w="100" w:type="dxa"/>
            </w:tcMar>
          </w:tcPr>
          <w:p w14:paraId="53B3DFE7" w14:textId="77777777" w:rsidR="0074760C" w:rsidRDefault="0045718A">
            <w:pPr>
              <w:widowControl w:val="0"/>
              <w:spacing w:line="240" w:lineRule="auto"/>
              <w:jc w:val="right"/>
              <w:rPr>
                <w:sz w:val="20"/>
                <w:szCs w:val="20"/>
              </w:rPr>
            </w:pPr>
            <w:r>
              <w:rPr>
                <w:sz w:val="20"/>
                <w:szCs w:val="20"/>
              </w:rPr>
              <w:t>$137,367,389</w:t>
            </w:r>
          </w:p>
        </w:tc>
        <w:tc>
          <w:tcPr>
            <w:tcW w:w="1755" w:type="dxa"/>
            <w:shd w:val="clear" w:color="auto" w:fill="auto"/>
            <w:tcMar>
              <w:top w:w="100" w:type="dxa"/>
              <w:left w:w="100" w:type="dxa"/>
              <w:bottom w:w="100" w:type="dxa"/>
              <w:right w:w="100" w:type="dxa"/>
            </w:tcMar>
          </w:tcPr>
          <w:p w14:paraId="36A17237" w14:textId="77777777" w:rsidR="0074760C" w:rsidRDefault="0045718A">
            <w:pPr>
              <w:widowControl w:val="0"/>
              <w:spacing w:line="240" w:lineRule="auto"/>
              <w:jc w:val="right"/>
              <w:rPr>
                <w:sz w:val="20"/>
                <w:szCs w:val="20"/>
              </w:rPr>
            </w:pPr>
            <w:r>
              <w:rPr>
                <w:sz w:val="20"/>
                <w:szCs w:val="20"/>
              </w:rPr>
              <w:t>$42,349,141</w:t>
            </w:r>
          </w:p>
        </w:tc>
        <w:tc>
          <w:tcPr>
            <w:tcW w:w="1710" w:type="dxa"/>
            <w:shd w:val="clear" w:color="auto" w:fill="auto"/>
            <w:tcMar>
              <w:top w:w="100" w:type="dxa"/>
              <w:left w:w="100" w:type="dxa"/>
              <w:bottom w:w="100" w:type="dxa"/>
              <w:right w:w="100" w:type="dxa"/>
            </w:tcMar>
          </w:tcPr>
          <w:p w14:paraId="6AA784E4" w14:textId="77777777" w:rsidR="0074760C" w:rsidRDefault="0045718A">
            <w:pPr>
              <w:widowControl w:val="0"/>
              <w:spacing w:line="240" w:lineRule="auto"/>
              <w:jc w:val="right"/>
              <w:rPr>
                <w:sz w:val="20"/>
                <w:szCs w:val="20"/>
              </w:rPr>
            </w:pPr>
            <w:r>
              <w:rPr>
                <w:sz w:val="20"/>
                <w:szCs w:val="20"/>
              </w:rPr>
              <w:t>$183,883</w:t>
            </w:r>
          </w:p>
        </w:tc>
        <w:tc>
          <w:tcPr>
            <w:tcW w:w="1905" w:type="dxa"/>
            <w:shd w:val="clear" w:color="auto" w:fill="auto"/>
            <w:tcMar>
              <w:top w:w="100" w:type="dxa"/>
              <w:left w:w="100" w:type="dxa"/>
              <w:bottom w:w="100" w:type="dxa"/>
              <w:right w:w="100" w:type="dxa"/>
            </w:tcMar>
          </w:tcPr>
          <w:p w14:paraId="37A201A9" w14:textId="77777777" w:rsidR="0074760C" w:rsidRDefault="0045718A">
            <w:pPr>
              <w:widowControl w:val="0"/>
              <w:spacing w:line="240" w:lineRule="auto"/>
              <w:jc w:val="right"/>
              <w:rPr>
                <w:sz w:val="20"/>
                <w:szCs w:val="20"/>
              </w:rPr>
            </w:pPr>
            <w:r>
              <w:rPr>
                <w:sz w:val="20"/>
                <w:szCs w:val="20"/>
              </w:rPr>
              <w:t>$179,900,413</w:t>
            </w:r>
          </w:p>
        </w:tc>
      </w:tr>
    </w:tbl>
    <w:p w14:paraId="282DAD04" w14:textId="77777777" w:rsidR="0074760C" w:rsidRDefault="0074760C">
      <w:pPr>
        <w:spacing w:line="240" w:lineRule="auto"/>
        <w:rPr>
          <w:b/>
          <w:sz w:val="26"/>
          <w:szCs w:val="26"/>
        </w:rPr>
      </w:pPr>
    </w:p>
    <w:p w14:paraId="7B534745" w14:textId="77777777" w:rsidR="0074760C" w:rsidRDefault="0074760C">
      <w:pPr>
        <w:spacing w:line="240" w:lineRule="auto"/>
        <w:rPr>
          <w:b/>
          <w:sz w:val="26"/>
          <w:szCs w:val="26"/>
        </w:rPr>
      </w:pPr>
    </w:p>
    <w:p w14:paraId="44E21395" w14:textId="77777777" w:rsidR="0074760C" w:rsidRDefault="0045718A">
      <w:pPr>
        <w:spacing w:line="240" w:lineRule="auto"/>
        <w:rPr>
          <w:sz w:val="26"/>
          <w:szCs w:val="26"/>
        </w:rPr>
      </w:pPr>
      <w:r>
        <w:rPr>
          <w:b/>
          <w:sz w:val="26"/>
          <w:szCs w:val="26"/>
        </w:rPr>
        <w:t>FY 2018 - 2019 Comparison for Civilian CFO Act Agencies (excludes DoD data)</w:t>
      </w:r>
    </w:p>
    <w:p w14:paraId="30161C2A" w14:textId="77777777" w:rsidR="0074760C" w:rsidRDefault="0074760C">
      <w:pPr>
        <w:spacing w:line="240" w:lineRule="auto"/>
        <w:rPr>
          <w:sz w:val="24"/>
          <w:szCs w:val="24"/>
        </w:rPr>
      </w:pPr>
    </w:p>
    <w:p w14:paraId="5B433359" w14:textId="77777777" w:rsidR="0074760C" w:rsidRDefault="0045718A">
      <w:pPr>
        <w:numPr>
          <w:ilvl w:val="0"/>
          <w:numId w:val="6"/>
        </w:numPr>
        <w:spacing w:line="240" w:lineRule="auto"/>
        <w:rPr>
          <w:sz w:val="24"/>
          <w:szCs w:val="24"/>
        </w:rPr>
      </w:pPr>
      <w:r>
        <w:rPr>
          <w:sz w:val="24"/>
          <w:szCs w:val="24"/>
        </w:rPr>
        <w:t>The total number of buildings decreased by 0.19%</w:t>
      </w:r>
    </w:p>
    <w:p w14:paraId="3C15D119" w14:textId="77777777" w:rsidR="0074760C" w:rsidRDefault="0045718A">
      <w:pPr>
        <w:numPr>
          <w:ilvl w:val="0"/>
          <w:numId w:val="6"/>
        </w:numPr>
        <w:spacing w:line="240" w:lineRule="auto"/>
        <w:rPr>
          <w:sz w:val="24"/>
          <w:szCs w:val="24"/>
        </w:rPr>
      </w:pPr>
      <w:r>
        <w:rPr>
          <w:sz w:val="24"/>
          <w:szCs w:val="24"/>
        </w:rPr>
        <w:t>The total building square footage increased by 0.08%</w:t>
      </w:r>
    </w:p>
    <w:p w14:paraId="2C0377E9" w14:textId="77777777" w:rsidR="0074760C" w:rsidRDefault="0045718A">
      <w:pPr>
        <w:numPr>
          <w:ilvl w:val="1"/>
          <w:numId w:val="6"/>
        </w:numPr>
        <w:spacing w:line="240" w:lineRule="auto"/>
        <w:rPr>
          <w:sz w:val="24"/>
          <w:szCs w:val="24"/>
        </w:rPr>
      </w:pPr>
      <w:r>
        <w:rPr>
          <w:sz w:val="24"/>
          <w:szCs w:val="24"/>
        </w:rPr>
        <w:t>Office square footage increased by 0.004%</w:t>
      </w:r>
    </w:p>
    <w:p w14:paraId="1C1BF898" w14:textId="77777777" w:rsidR="0074760C" w:rsidRDefault="0045718A">
      <w:pPr>
        <w:numPr>
          <w:ilvl w:val="1"/>
          <w:numId w:val="6"/>
        </w:numPr>
        <w:spacing w:line="240" w:lineRule="auto"/>
        <w:rPr>
          <w:sz w:val="24"/>
          <w:szCs w:val="24"/>
        </w:rPr>
      </w:pPr>
      <w:r>
        <w:rPr>
          <w:sz w:val="24"/>
          <w:szCs w:val="24"/>
        </w:rPr>
        <w:t xml:space="preserve">Warehouse square footage decreased </w:t>
      </w:r>
      <w:r>
        <w:rPr>
          <w:sz w:val="24"/>
          <w:szCs w:val="24"/>
        </w:rPr>
        <w:t>by 0.63%</w:t>
      </w:r>
    </w:p>
    <w:p w14:paraId="781C959D" w14:textId="77777777" w:rsidR="0074760C" w:rsidRDefault="0045718A">
      <w:pPr>
        <w:numPr>
          <w:ilvl w:val="0"/>
          <w:numId w:val="6"/>
        </w:numPr>
        <w:spacing w:line="240" w:lineRule="auto"/>
        <w:rPr>
          <w:sz w:val="24"/>
          <w:szCs w:val="24"/>
        </w:rPr>
      </w:pPr>
      <w:r>
        <w:rPr>
          <w:sz w:val="24"/>
          <w:szCs w:val="24"/>
        </w:rPr>
        <w:t>The total number of structures decreased by 0.02%</w:t>
      </w:r>
    </w:p>
    <w:p w14:paraId="7BA4A34A" w14:textId="77777777" w:rsidR="0074760C" w:rsidRDefault="0045718A">
      <w:pPr>
        <w:numPr>
          <w:ilvl w:val="0"/>
          <w:numId w:val="6"/>
        </w:numPr>
        <w:spacing w:line="240" w:lineRule="auto"/>
        <w:rPr>
          <w:sz w:val="24"/>
          <w:szCs w:val="24"/>
        </w:rPr>
      </w:pPr>
      <w:r>
        <w:rPr>
          <w:sz w:val="24"/>
          <w:szCs w:val="24"/>
        </w:rPr>
        <w:t>The total acres of land increased by 0.0002%</w:t>
      </w:r>
    </w:p>
    <w:p w14:paraId="76194671" w14:textId="77777777" w:rsidR="0074760C" w:rsidRDefault="0045718A">
      <w:pPr>
        <w:numPr>
          <w:ilvl w:val="0"/>
          <w:numId w:val="6"/>
        </w:numPr>
        <w:spacing w:line="240" w:lineRule="auto"/>
        <w:rPr>
          <w:sz w:val="24"/>
          <w:szCs w:val="24"/>
        </w:rPr>
      </w:pPr>
      <w:r>
        <w:rPr>
          <w:sz w:val="24"/>
          <w:szCs w:val="24"/>
        </w:rPr>
        <w:t>The total costs for buildings, structures and land increased by 1.06%</w:t>
      </w:r>
    </w:p>
    <w:p w14:paraId="42B040EE" w14:textId="77777777" w:rsidR="0074760C" w:rsidRDefault="0074760C">
      <w:pPr>
        <w:spacing w:line="240" w:lineRule="auto"/>
        <w:rPr>
          <w:sz w:val="26"/>
          <w:szCs w:val="26"/>
        </w:rPr>
      </w:pPr>
    </w:p>
    <w:p w14:paraId="7EB7C93E" w14:textId="77777777" w:rsidR="0074760C" w:rsidRDefault="0045718A">
      <w:pPr>
        <w:spacing w:line="240" w:lineRule="auto"/>
        <w:rPr>
          <w:color w:val="222222"/>
          <w:sz w:val="26"/>
          <w:szCs w:val="26"/>
          <w:highlight w:val="white"/>
        </w:rPr>
      </w:pPr>
      <w:r>
        <w:rPr>
          <w:b/>
          <w:sz w:val="26"/>
          <w:szCs w:val="26"/>
        </w:rPr>
        <w:t>Disposal</w:t>
      </w:r>
    </w:p>
    <w:p w14:paraId="6BB0471B" w14:textId="77777777" w:rsidR="0074760C" w:rsidRDefault="0074760C">
      <w:pPr>
        <w:spacing w:line="240" w:lineRule="auto"/>
        <w:rPr>
          <w:color w:val="222222"/>
          <w:sz w:val="24"/>
          <w:szCs w:val="24"/>
          <w:highlight w:val="white"/>
        </w:rPr>
      </w:pPr>
    </w:p>
    <w:p w14:paraId="64A4D31D" w14:textId="77777777" w:rsidR="0074760C" w:rsidRDefault="0045718A">
      <w:pPr>
        <w:numPr>
          <w:ilvl w:val="0"/>
          <w:numId w:val="4"/>
        </w:numPr>
        <w:spacing w:line="240" w:lineRule="auto"/>
        <w:rPr>
          <w:color w:val="222222"/>
          <w:sz w:val="24"/>
          <w:szCs w:val="24"/>
          <w:highlight w:val="white"/>
        </w:rPr>
      </w:pPr>
      <w:r>
        <w:rPr>
          <w:color w:val="222222"/>
          <w:sz w:val="24"/>
          <w:szCs w:val="24"/>
          <w:highlight w:val="white"/>
        </w:rPr>
        <w:t xml:space="preserve">Civilian CFO Act agencies disposed of 1,211 owned and otherwise managed buildings; DoD disposed of 1,859 owned and otherwise managed buildings </w:t>
      </w:r>
    </w:p>
    <w:p w14:paraId="2243E690" w14:textId="77777777" w:rsidR="0074760C" w:rsidRDefault="0045718A">
      <w:pPr>
        <w:spacing w:line="240" w:lineRule="auto"/>
        <w:ind w:firstLine="720"/>
        <w:rPr>
          <w:color w:val="222222"/>
          <w:sz w:val="24"/>
          <w:szCs w:val="24"/>
          <w:highlight w:val="white"/>
        </w:rPr>
      </w:pPr>
      <w:r>
        <w:rPr>
          <w:color w:val="222222"/>
          <w:sz w:val="24"/>
          <w:szCs w:val="24"/>
          <w:highlight w:val="white"/>
        </w:rPr>
        <w:t>resulting in:</w:t>
      </w:r>
    </w:p>
    <w:p w14:paraId="21F0F2CA" w14:textId="77777777" w:rsidR="0074760C" w:rsidRDefault="0045718A">
      <w:pPr>
        <w:numPr>
          <w:ilvl w:val="1"/>
          <w:numId w:val="3"/>
        </w:numPr>
        <w:spacing w:line="240" w:lineRule="auto"/>
        <w:rPr>
          <w:color w:val="222222"/>
          <w:sz w:val="24"/>
          <w:szCs w:val="24"/>
          <w:highlight w:val="white"/>
        </w:rPr>
      </w:pPr>
      <w:r>
        <w:rPr>
          <w:color w:val="222222"/>
          <w:sz w:val="24"/>
          <w:szCs w:val="24"/>
          <w:highlight w:val="white"/>
        </w:rPr>
        <w:t>$</w:t>
      </w:r>
      <w:r>
        <w:rPr>
          <w:color w:val="222222"/>
          <w:sz w:val="24"/>
          <w:szCs w:val="24"/>
        </w:rPr>
        <w:t xml:space="preserve">65.1 million in net proceeds </w:t>
      </w:r>
      <w:r>
        <w:rPr>
          <w:color w:val="222222"/>
          <w:sz w:val="24"/>
          <w:szCs w:val="24"/>
          <w:highlight w:val="white"/>
        </w:rPr>
        <w:t>from sales</w:t>
      </w:r>
    </w:p>
    <w:p w14:paraId="339EE602" w14:textId="77777777" w:rsidR="0074760C" w:rsidRDefault="0045718A">
      <w:pPr>
        <w:numPr>
          <w:ilvl w:val="1"/>
          <w:numId w:val="3"/>
        </w:numPr>
        <w:spacing w:line="240" w:lineRule="auto"/>
        <w:rPr>
          <w:color w:val="222222"/>
          <w:sz w:val="24"/>
          <w:szCs w:val="24"/>
          <w:highlight w:val="white"/>
        </w:rPr>
      </w:pPr>
      <w:r>
        <w:rPr>
          <w:color w:val="222222"/>
          <w:sz w:val="24"/>
          <w:szCs w:val="24"/>
          <w:highlight w:val="white"/>
        </w:rPr>
        <w:t xml:space="preserve">$22.9 million future cost avoidance from owned operating </w:t>
      </w:r>
      <w:r>
        <w:rPr>
          <w:color w:val="222222"/>
          <w:sz w:val="24"/>
          <w:szCs w:val="24"/>
          <w:highlight w:val="white"/>
        </w:rPr>
        <w:t>and maintenance costs</w:t>
      </w:r>
    </w:p>
    <w:p w14:paraId="71EA9E29" w14:textId="77777777" w:rsidR="0074760C" w:rsidRDefault="0074760C">
      <w:pPr>
        <w:spacing w:line="240" w:lineRule="auto"/>
        <w:rPr>
          <w:color w:val="222222"/>
          <w:sz w:val="24"/>
          <w:szCs w:val="24"/>
          <w:highlight w:val="white"/>
        </w:rPr>
      </w:pPr>
    </w:p>
    <w:p w14:paraId="50C27704" w14:textId="77777777" w:rsidR="0074760C" w:rsidRDefault="0045718A">
      <w:pPr>
        <w:numPr>
          <w:ilvl w:val="0"/>
          <w:numId w:val="1"/>
        </w:numPr>
        <w:spacing w:line="240" w:lineRule="auto"/>
        <w:rPr>
          <w:color w:val="222222"/>
          <w:sz w:val="24"/>
          <w:szCs w:val="24"/>
          <w:highlight w:val="white"/>
        </w:rPr>
      </w:pPr>
      <w:r>
        <w:rPr>
          <w:color w:val="222222"/>
          <w:sz w:val="24"/>
          <w:szCs w:val="24"/>
          <w:highlight w:val="white"/>
        </w:rPr>
        <w:t>Civilian CFO Act agencies disposed 3,953 owned and otherwise managed structures; DoD disposed of 5,958 owned and otherwise managed structures</w:t>
      </w:r>
    </w:p>
    <w:p w14:paraId="4F5CB27D" w14:textId="77777777" w:rsidR="0074760C" w:rsidRDefault="0045718A">
      <w:pPr>
        <w:spacing w:line="240" w:lineRule="auto"/>
        <w:ind w:left="720"/>
        <w:rPr>
          <w:color w:val="222222"/>
          <w:sz w:val="24"/>
          <w:szCs w:val="24"/>
          <w:highlight w:val="white"/>
        </w:rPr>
      </w:pPr>
      <w:r>
        <w:rPr>
          <w:color w:val="222222"/>
          <w:sz w:val="24"/>
          <w:szCs w:val="24"/>
          <w:highlight w:val="white"/>
        </w:rPr>
        <w:t>resulting in:</w:t>
      </w:r>
    </w:p>
    <w:p w14:paraId="32383DAD" w14:textId="77777777" w:rsidR="0074760C" w:rsidRDefault="0045718A">
      <w:pPr>
        <w:numPr>
          <w:ilvl w:val="1"/>
          <w:numId w:val="1"/>
        </w:numPr>
        <w:spacing w:line="240" w:lineRule="auto"/>
        <w:rPr>
          <w:color w:val="222222"/>
          <w:sz w:val="24"/>
          <w:szCs w:val="24"/>
          <w:highlight w:val="white"/>
        </w:rPr>
      </w:pPr>
      <w:r>
        <w:rPr>
          <w:color w:val="222222"/>
          <w:sz w:val="24"/>
          <w:szCs w:val="24"/>
          <w:highlight w:val="white"/>
        </w:rPr>
        <w:t>$</w:t>
      </w:r>
      <w:r>
        <w:rPr>
          <w:color w:val="222222"/>
          <w:sz w:val="24"/>
          <w:szCs w:val="24"/>
        </w:rPr>
        <w:t>0.15 million in net proceeds from sales</w:t>
      </w:r>
    </w:p>
    <w:p w14:paraId="32A2EEA4" w14:textId="77777777" w:rsidR="0074760C" w:rsidRDefault="0045718A">
      <w:pPr>
        <w:numPr>
          <w:ilvl w:val="1"/>
          <w:numId w:val="1"/>
        </w:numPr>
        <w:spacing w:line="240" w:lineRule="auto"/>
        <w:rPr>
          <w:color w:val="222222"/>
          <w:sz w:val="24"/>
          <w:szCs w:val="24"/>
          <w:highlight w:val="white"/>
        </w:rPr>
      </w:pPr>
      <w:r>
        <w:rPr>
          <w:color w:val="222222"/>
          <w:sz w:val="24"/>
          <w:szCs w:val="24"/>
        </w:rPr>
        <w:t>$18.5 million future cost avoidan</w:t>
      </w:r>
      <w:r>
        <w:rPr>
          <w:color w:val="222222"/>
          <w:sz w:val="24"/>
          <w:szCs w:val="24"/>
          <w:highlight w:val="white"/>
        </w:rPr>
        <w:t>ce from owned annual opera</w:t>
      </w:r>
      <w:r>
        <w:rPr>
          <w:color w:val="222222"/>
          <w:sz w:val="24"/>
          <w:szCs w:val="24"/>
          <w:highlight w:val="white"/>
        </w:rPr>
        <w:t>ting and maintenance costs</w:t>
      </w:r>
    </w:p>
    <w:p w14:paraId="2FA9C66C" w14:textId="77777777" w:rsidR="0074760C" w:rsidRDefault="0074760C">
      <w:pPr>
        <w:spacing w:line="240" w:lineRule="auto"/>
        <w:rPr>
          <w:color w:val="222222"/>
          <w:sz w:val="24"/>
          <w:szCs w:val="24"/>
          <w:highlight w:val="white"/>
        </w:rPr>
      </w:pPr>
    </w:p>
    <w:p w14:paraId="1F2DE398" w14:textId="77777777" w:rsidR="0074760C" w:rsidRDefault="0045718A">
      <w:pPr>
        <w:numPr>
          <w:ilvl w:val="0"/>
          <w:numId w:val="5"/>
        </w:numPr>
        <w:spacing w:line="240" w:lineRule="auto"/>
        <w:rPr>
          <w:color w:val="222222"/>
          <w:sz w:val="24"/>
          <w:szCs w:val="24"/>
          <w:highlight w:val="white"/>
        </w:rPr>
      </w:pPr>
      <w:r>
        <w:rPr>
          <w:color w:val="222222"/>
          <w:sz w:val="24"/>
          <w:szCs w:val="24"/>
          <w:highlight w:val="white"/>
        </w:rPr>
        <w:t>Civilian CFO Act agencies and DoD disposed of 36,904 owned and otherwise managed acres, resulting in:</w:t>
      </w:r>
    </w:p>
    <w:p w14:paraId="3E810733" w14:textId="77777777" w:rsidR="0074760C" w:rsidRDefault="0045718A">
      <w:pPr>
        <w:numPr>
          <w:ilvl w:val="1"/>
          <w:numId w:val="5"/>
        </w:numPr>
        <w:spacing w:line="240" w:lineRule="auto"/>
        <w:rPr>
          <w:color w:val="222222"/>
          <w:sz w:val="24"/>
          <w:szCs w:val="24"/>
          <w:highlight w:val="white"/>
        </w:rPr>
      </w:pPr>
      <w:r>
        <w:rPr>
          <w:color w:val="222222"/>
          <w:sz w:val="24"/>
          <w:szCs w:val="24"/>
        </w:rPr>
        <w:lastRenderedPageBreak/>
        <w:t>$3.9 million in net proceeds from sa</w:t>
      </w:r>
      <w:r>
        <w:rPr>
          <w:color w:val="222222"/>
          <w:sz w:val="24"/>
          <w:szCs w:val="24"/>
          <w:highlight w:val="white"/>
        </w:rPr>
        <w:t>les</w:t>
      </w:r>
    </w:p>
    <w:p w14:paraId="76FE0637" w14:textId="77777777" w:rsidR="0074760C" w:rsidRDefault="0045718A">
      <w:pPr>
        <w:numPr>
          <w:ilvl w:val="1"/>
          <w:numId w:val="5"/>
        </w:numPr>
        <w:spacing w:line="240" w:lineRule="auto"/>
        <w:rPr>
          <w:color w:val="222222"/>
          <w:sz w:val="24"/>
          <w:szCs w:val="24"/>
          <w:highlight w:val="white"/>
        </w:rPr>
      </w:pPr>
      <w:r>
        <w:rPr>
          <w:color w:val="222222"/>
          <w:sz w:val="24"/>
          <w:szCs w:val="24"/>
          <w:highlight w:val="white"/>
        </w:rPr>
        <w:t>$0 future cost avoidance from owned operating and maintenance costs</w:t>
      </w:r>
    </w:p>
    <w:sectPr w:rsidR="0074760C">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8AEF4" w14:textId="77777777" w:rsidR="00000000" w:rsidRDefault="0045718A">
      <w:pPr>
        <w:spacing w:line="240" w:lineRule="auto"/>
      </w:pPr>
      <w:r>
        <w:separator/>
      </w:r>
    </w:p>
  </w:endnote>
  <w:endnote w:type="continuationSeparator" w:id="0">
    <w:p w14:paraId="6E18956B" w14:textId="77777777" w:rsidR="00000000" w:rsidRDefault="00457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17241" w14:textId="77777777" w:rsidR="00000000" w:rsidRDefault="0045718A">
      <w:pPr>
        <w:spacing w:line="240" w:lineRule="auto"/>
      </w:pPr>
      <w:r>
        <w:separator/>
      </w:r>
    </w:p>
  </w:footnote>
  <w:footnote w:type="continuationSeparator" w:id="0">
    <w:p w14:paraId="3669B1EC" w14:textId="77777777" w:rsidR="00000000" w:rsidRDefault="0045718A">
      <w:pPr>
        <w:spacing w:line="240" w:lineRule="auto"/>
      </w:pPr>
      <w:r>
        <w:continuationSeparator/>
      </w:r>
    </w:p>
  </w:footnote>
  <w:footnote w:id="1">
    <w:p w14:paraId="62FBE127" w14:textId="77777777" w:rsidR="0074760C" w:rsidRDefault="0045718A">
      <w:pPr>
        <w:spacing w:line="240" w:lineRule="auto"/>
        <w:rPr>
          <w:sz w:val="20"/>
          <w:szCs w:val="20"/>
        </w:rPr>
      </w:pPr>
      <w:r>
        <w:rPr>
          <w:vertAlign w:val="superscript"/>
        </w:rPr>
        <w:footnoteRef/>
      </w:r>
      <w:r>
        <w:rPr>
          <w:sz w:val="20"/>
          <w:szCs w:val="20"/>
        </w:rPr>
        <w:t xml:space="preserve"> Department of Defense includes the Departments of the Army, Air Force, and Navy, the Corps of Engineers, and Defense/WHS (Washington headquarters).</w:t>
      </w:r>
    </w:p>
  </w:footnote>
  <w:footnote w:id="2">
    <w:p w14:paraId="73F982C9" w14:textId="77777777" w:rsidR="0074760C" w:rsidRDefault="0045718A">
      <w:pPr>
        <w:spacing w:line="240" w:lineRule="auto"/>
        <w:rPr>
          <w:sz w:val="20"/>
          <w:szCs w:val="20"/>
        </w:rPr>
      </w:pPr>
      <w:r>
        <w:rPr>
          <w:vertAlign w:val="superscript"/>
        </w:rPr>
        <w:footnoteRef/>
      </w:r>
      <w:r>
        <w:rPr>
          <w:sz w:val="20"/>
          <w:szCs w:val="20"/>
        </w:rPr>
        <w:t xml:space="preserve"> Total Annual Costs for owned assets is the total of Operating and Maintenance costs; for leased assets,</w:t>
      </w:r>
      <w:r>
        <w:rPr>
          <w:sz w:val="20"/>
          <w:szCs w:val="20"/>
        </w:rPr>
        <w:t xml:space="preserve"> it is the total of Operating costs, Maintenance costs and Rent.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995A7" w14:textId="77777777" w:rsidR="0074760C" w:rsidRDefault="007476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30378"/>
    <w:multiLevelType w:val="multilevel"/>
    <w:tmpl w:val="61F42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F724D2"/>
    <w:multiLevelType w:val="multilevel"/>
    <w:tmpl w:val="7488F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3C3C51"/>
    <w:multiLevelType w:val="multilevel"/>
    <w:tmpl w:val="4ED60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DC0C2E"/>
    <w:multiLevelType w:val="multilevel"/>
    <w:tmpl w:val="EEFA8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B37DC2"/>
    <w:multiLevelType w:val="multilevel"/>
    <w:tmpl w:val="A1746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38167A"/>
    <w:multiLevelType w:val="multilevel"/>
    <w:tmpl w:val="0158D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0C"/>
    <w:rsid w:val="0045718A"/>
    <w:rsid w:val="0074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6BE8"/>
  <w15:docId w15:val="{D887662A-4654-487A-8F3E-89D4F545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publicfrppdata.realpropertyprofile.gov/" TargetMode="External"/><Relationship Id="rId3" Type="http://schemas.openxmlformats.org/officeDocument/2006/relationships/settings" Target="settings.xml"/><Relationship Id="rId7" Type="http://schemas.openxmlformats.org/officeDocument/2006/relationships/hyperlink" Target="https://publicfrppdata.realpropertyprofil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sa.gov/frpp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ElizabethSFahey</dc:creator>
  <cp:lastModifiedBy>ElizabethSFahey</cp:lastModifiedBy>
  <cp:revision>2</cp:revision>
  <dcterms:created xsi:type="dcterms:W3CDTF">2020-12-17T16:18:00Z</dcterms:created>
  <dcterms:modified xsi:type="dcterms:W3CDTF">2020-12-17T16:18:00Z</dcterms:modified>
</cp:coreProperties>
</file>