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23B" w:rsidRPr="00B9023B" w:rsidRDefault="00B9023B" w:rsidP="00B9023B">
      <w:pPr>
        <w:spacing w:after="150" w:line="264" w:lineRule="atLeast"/>
        <w:outlineLvl w:val="1"/>
        <w:rPr>
          <w:rFonts w:ascii="Helvetica" w:eastAsia="Times New Roman" w:hAnsi="Helvetica" w:cs="Helvetica"/>
          <w:color w:val="333333"/>
          <w:sz w:val="46"/>
          <w:szCs w:val="46"/>
        </w:rPr>
      </w:pPr>
      <w:r w:rsidRPr="00B9023B">
        <w:rPr>
          <w:rFonts w:ascii="Helvetica" w:eastAsia="Times New Roman" w:hAnsi="Helvetica" w:cs="Helvetica"/>
          <w:color w:val="333333"/>
          <w:sz w:val="46"/>
          <w:szCs w:val="46"/>
        </w:rPr>
        <w:t>FY 201</w:t>
      </w:r>
      <w:r w:rsidR="0095712F">
        <w:rPr>
          <w:rFonts w:ascii="Helvetica" w:eastAsia="Times New Roman" w:hAnsi="Helvetica" w:cs="Helvetica"/>
          <w:color w:val="333333"/>
          <w:sz w:val="46"/>
          <w:szCs w:val="46"/>
        </w:rPr>
        <w:t>7</w:t>
      </w:r>
      <w:r w:rsidRPr="00B9023B">
        <w:rPr>
          <w:rFonts w:ascii="Helvetica" w:eastAsia="Times New Roman" w:hAnsi="Helvetica" w:cs="Helvetica"/>
          <w:color w:val="333333"/>
          <w:sz w:val="46"/>
          <w:szCs w:val="46"/>
        </w:rPr>
        <w:t xml:space="preserve"> Highlights</w:t>
      </w:r>
    </w:p>
    <w:p w:rsidR="00B9023B" w:rsidRPr="003F21DB" w:rsidRDefault="00B9023B" w:rsidP="00B9023B">
      <w:pPr>
        <w:spacing w:before="240" w:after="240" w:line="240" w:lineRule="atLeast"/>
        <w:rPr>
          <w:rFonts w:eastAsia="Times New Roman" w:cs="Arial"/>
          <w:color w:val="333333"/>
          <w:sz w:val="20"/>
          <w:szCs w:val="20"/>
        </w:rPr>
      </w:pPr>
      <w:r w:rsidRPr="003F21DB">
        <w:rPr>
          <w:rFonts w:eastAsia="Times New Roman" w:cs="Arial"/>
          <w:color w:val="333333"/>
          <w:sz w:val="20"/>
          <w:szCs w:val="20"/>
        </w:rPr>
        <w:t>GSA establishes the p</w:t>
      </w:r>
      <w:r w:rsidR="00CA4ABC">
        <w:rPr>
          <w:rFonts w:eastAsia="Times New Roman" w:cs="Arial"/>
          <w:color w:val="333333"/>
          <w:sz w:val="20"/>
          <w:szCs w:val="20"/>
        </w:rPr>
        <w:t>er diem rates for the lower 48 C</w:t>
      </w:r>
      <w:r w:rsidRPr="003F21DB">
        <w:rPr>
          <w:rFonts w:eastAsia="Times New Roman" w:cs="Arial"/>
          <w:color w:val="333333"/>
          <w:sz w:val="20"/>
          <w:szCs w:val="20"/>
        </w:rPr>
        <w:t>ontinental United States (CONUS), which are the maximum allowances that federal employees are reimbursed for expenses incurred while on official travel.</w:t>
      </w:r>
    </w:p>
    <w:p w:rsidR="00B9023B" w:rsidRPr="003F21DB" w:rsidRDefault="00B9023B" w:rsidP="00B9023B">
      <w:pPr>
        <w:spacing w:before="240" w:after="240" w:line="240" w:lineRule="atLeast"/>
        <w:rPr>
          <w:rFonts w:eastAsia="Times New Roman" w:cs="Arial"/>
          <w:color w:val="333333"/>
          <w:sz w:val="20"/>
          <w:szCs w:val="20"/>
        </w:rPr>
      </w:pPr>
      <w:r w:rsidRPr="003F21DB">
        <w:rPr>
          <w:rFonts w:eastAsia="Times New Roman" w:cs="Arial"/>
          <w:color w:val="333333"/>
          <w:sz w:val="20"/>
          <w:szCs w:val="20"/>
        </w:rPr>
        <w:t>The CONUS per diem rate for an area is actually three allowances: the lodging allowance, the meals allowance and the incidental expense allowance. Most of the CONUS (approximately 2600 counties) are covered by the standard CONUS per diem rate of $1</w:t>
      </w:r>
      <w:r w:rsidR="00BD25CD">
        <w:rPr>
          <w:rFonts w:eastAsia="Times New Roman" w:cs="Arial"/>
          <w:color w:val="333333"/>
          <w:sz w:val="20"/>
          <w:szCs w:val="20"/>
        </w:rPr>
        <w:t>4</w:t>
      </w:r>
      <w:r w:rsidR="0095712F">
        <w:rPr>
          <w:rFonts w:eastAsia="Times New Roman" w:cs="Arial"/>
          <w:color w:val="333333"/>
          <w:sz w:val="20"/>
          <w:szCs w:val="20"/>
        </w:rPr>
        <w:t>2</w:t>
      </w:r>
      <w:r w:rsidR="00575995" w:rsidRPr="003F21DB">
        <w:rPr>
          <w:rFonts w:eastAsia="Times New Roman" w:cs="Arial"/>
          <w:color w:val="333333"/>
          <w:sz w:val="20"/>
          <w:szCs w:val="20"/>
        </w:rPr>
        <w:t xml:space="preserve"> ($</w:t>
      </w:r>
      <w:r w:rsidR="00BD25CD">
        <w:rPr>
          <w:rFonts w:eastAsia="Times New Roman" w:cs="Arial"/>
          <w:color w:val="333333"/>
          <w:sz w:val="20"/>
          <w:szCs w:val="20"/>
        </w:rPr>
        <w:t>9</w:t>
      </w:r>
      <w:r w:rsidR="0095712F">
        <w:rPr>
          <w:rFonts w:eastAsia="Times New Roman" w:cs="Arial"/>
          <w:color w:val="333333"/>
          <w:sz w:val="20"/>
          <w:szCs w:val="20"/>
        </w:rPr>
        <w:t>1</w:t>
      </w:r>
      <w:r w:rsidRPr="003F21DB">
        <w:rPr>
          <w:rFonts w:eastAsia="Times New Roman" w:cs="Arial"/>
          <w:color w:val="333333"/>
          <w:sz w:val="20"/>
          <w:szCs w:val="20"/>
        </w:rPr>
        <w:t xml:space="preserve"> lodging, $</w:t>
      </w:r>
      <w:r w:rsidR="00BD25CD">
        <w:rPr>
          <w:rFonts w:eastAsia="Times New Roman" w:cs="Arial"/>
          <w:color w:val="333333"/>
          <w:sz w:val="20"/>
          <w:szCs w:val="20"/>
        </w:rPr>
        <w:t>51</w:t>
      </w:r>
      <w:r w:rsidRPr="003F21DB">
        <w:rPr>
          <w:rFonts w:eastAsia="Times New Roman" w:cs="Arial"/>
          <w:color w:val="333333"/>
          <w:sz w:val="20"/>
          <w:szCs w:val="20"/>
        </w:rPr>
        <w:t xml:space="preserve"> meals and incidental expenses). In fiscal year (FY) 201</w:t>
      </w:r>
      <w:r w:rsidR="0095712F">
        <w:rPr>
          <w:rFonts w:eastAsia="Times New Roman" w:cs="Arial"/>
          <w:color w:val="333333"/>
          <w:sz w:val="20"/>
          <w:szCs w:val="20"/>
        </w:rPr>
        <w:t>7</w:t>
      </w:r>
      <w:r w:rsidRPr="003F21DB">
        <w:rPr>
          <w:rFonts w:eastAsia="Times New Roman" w:cs="Arial"/>
          <w:color w:val="333333"/>
          <w:sz w:val="20"/>
          <w:szCs w:val="20"/>
        </w:rPr>
        <w:t xml:space="preserve">, there </w:t>
      </w:r>
      <w:r w:rsidR="0095712F">
        <w:rPr>
          <w:rFonts w:eastAsia="Times New Roman" w:cs="Arial"/>
          <w:color w:val="333333"/>
          <w:sz w:val="20"/>
          <w:szCs w:val="20"/>
        </w:rPr>
        <w:t xml:space="preserve">are </w:t>
      </w:r>
      <w:r w:rsidRPr="003F21DB">
        <w:rPr>
          <w:rFonts w:eastAsia="Times New Roman" w:cs="Arial"/>
          <w:color w:val="333333"/>
          <w:sz w:val="20"/>
          <w:szCs w:val="20"/>
        </w:rPr>
        <w:t xml:space="preserve">about </w:t>
      </w:r>
      <w:r w:rsidR="0095712F">
        <w:rPr>
          <w:rFonts w:eastAsia="Times New Roman" w:cs="Arial"/>
          <w:color w:val="333333"/>
          <w:sz w:val="20"/>
          <w:szCs w:val="20"/>
        </w:rPr>
        <w:t>350</w:t>
      </w:r>
      <w:r w:rsidRPr="003F21DB">
        <w:rPr>
          <w:rFonts w:eastAsia="Times New Roman" w:cs="Arial"/>
          <w:color w:val="333333"/>
          <w:sz w:val="20"/>
          <w:szCs w:val="20"/>
        </w:rPr>
        <w:t xml:space="preserve"> Non-Standard Areas (NSAs) that have per diem rates higher than the standard CONUS rate.</w:t>
      </w:r>
    </w:p>
    <w:p w:rsidR="00B9023B" w:rsidRPr="003F21DB" w:rsidRDefault="00B9023B" w:rsidP="00B9023B">
      <w:pPr>
        <w:spacing w:before="240" w:after="240" w:line="240" w:lineRule="atLeast"/>
        <w:rPr>
          <w:rFonts w:eastAsia="Times New Roman" w:cs="Arial"/>
          <w:color w:val="333333"/>
          <w:sz w:val="20"/>
          <w:szCs w:val="20"/>
        </w:rPr>
      </w:pPr>
      <w:r w:rsidRPr="003F21DB">
        <w:rPr>
          <w:rFonts w:eastAsia="Times New Roman" w:cs="Arial"/>
          <w:color w:val="333333"/>
          <w:sz w:val="20"/>
          <w:szCs w:val="20"/>
        </w:rPr>
        <w:t xml:space="preserve">Since FY 2005, NSA rates have been based on Average Daily Rate (ADR) data from the lodging industry, which GSA obtains through a contract with a leading provider of lodging industry data. For more about how per diem rates are determined, visit </w:t>
      </w:r>
      <w:hyperlink r:id="rId6" w:tgtFrame="_self" w:history="1">
        <w:r w:rsidRPr="003F21DB">
          <w:rPr>
            <w:rFonts w:eastAsia="Times New Roman" w:cs="Arial"/>
            <w:color w:val="282E8C"/>
            <w:sz w:val="20"/>
            <w:szCs w:val="20"/>
            <w:u w:val="single"/>
          </w:rPr>
          <w:t>Factors Influencing Lodging Rates</w:t>
        </w:r>
      </w:hyperlink>
      <w:r w:rsidRPr="003F21DB">
        <w:rPr>
          <w:rFonts w:eastAsia="Times New Roman" w:cs="Arial"/>
          <w:color w:val="333333"/>
          <w:sz w:val="20"/>
          <w:szCs w:val="20"/>
        </w:rPr>
        <w:t xml:space="preserve">. The ADR is a widely accepted lodging-industry measure based upon a property's room rental revenue divided by the number of rooms rented as reported by the hotel property to the contractor. This calculation provides </w:t>
      </w:r>
      <w:r w:rsidR="00CA4ABC">
        <w:rPr>
          <w:rFonts w:eastAsia="Times New Roman" w:cs="Arial"/>
          <w:color w:val="333333"/>
          <w:sz w:val="20"/>
          <w:szCs w:val="20"/>
        </w:rPr>
        <w:t>GSA</w:t>
      </w:r>
      <w:r w:rsidRPr="003F21DB">
        <w:rPr>
          <w:rFonts w:eastAsia="Times New Roman" w:cs="Arial"/>
          <w:color w:val="333333"/>
          <w:sz w:val="20"/>
          <w:szCs w:val="20"/>
        </w:rPr>
        <w:t xml:space="preserve"> with the average rate in a given area.</w:t>
      </w:r>
    </w:p>
    <w:p w:rsidR="00B9023B" w:rsidRPr="003F21DB" w:rsidRDefault="00B9023B" w:rsidP="00B9023B">
      <w:pPr>
        <w:spacing w:before="240" w:after="240" w:line="240" w:lineRule="atLeast"/>
        <w:rPr>
          <w:rFonts w:eastAsia="Times New Roman" w:cs="Arial"/>
          <w:color w:val="333333"/>
          <w:sz w:val="20"/>
          <w:szCs w:val="20"/>
        </w:rPr>
      </w:pPr>
      <w:r w:rsidRPr="003F21DB">
        <w:rPr>
          <w:rFonts w:eastAsia="Times New Roman" w:cs="Arial"/>
          <w:color w:val="333333"/>
          <w:sz w:val="20"/>
          <w:szCs w:val="20"/>
        </w:rPr>
        <w:t>As in previous years, GSA still uses:</w:t>
      </w:r>
    </w:p>
    <w:p w:rsidR="00B9023B" w:rsidRPr="003F21DB" w:rsidRDefault="00B9023B" w:rsidP="00B9023B">
      <w:pPr>
        <w:numPr>
          <w:ilvl w:val="0"/>
          <w:numId w:val="1"/>
        </w:numPr>
        <w:spacing w:before="30" w:after="30" w:line="264" w:lineRule="atLeast"/>
        <w:ind w:left="0"/>
        <w:rPr>
          <w:rFonts w:eastAsia="Times New Roman" w:cs="Arial"/>
          <w:color w:val="333333"/>
          <w:sz w:val="20"/>
          <w:szCs w:val="20"/>
        </w:rPr>
      </w:pPr>
      <w:r w:rsidRPr="003F21DB">
        <w:rPr>
          <w:rFonts w:eastAsia="Times New Roman" w:cs="Arial"/>
          <w:color w:val="333333"/>
          <w:sz w:val="20"/>
          <w:szCs w:val="20"/>
        </w:rPr>
        <w:t>Only "fire safe" properties; GSA is required by law to use only </w:t>
      </w:r>
      <w:hyperlink r:id="rId7" w:tgtFrame="_self" w:history="1">
        <w:r w:rsidRPr="003F21DB">
          <w:rPr>
            <w:rFonts w:eastAsia="Times New Roman" w:cs="Arial"/>
            <w:color w:val="282E8C"/>
            <w:sz w:val="20"/>
            <w:szCs w:val="20"/>
          </w:rPr>
          <w:t>properties</w:t>
        </w:r>
      </w:hyperlink>
      <w:r w:rsidRPr="003F21DB">
        <w:rPr>
          <w:rFonts w:eastAsia="Times New Roman" w:cs="Arial"/>
          <w:color w:val="333333"/>
          <w:sz w:val="20"/>
          <w:szCs w:val="20"/>
        </w:rPr>
        <w:t> that are certified as being in compliance with the Hotel &amp; Motel Fire Safety Act of 1990.</w:t>
      </w:r>
    </w:p>
    <w:p w:rsidR="00B9023B" w:rsidRPr="003F21DB" w:rsidRDefault="00B9023B" w:rsidP="00B9023B">
      <w:pPr>
        <w:numPr>
          <w:ilvl w:val="0"/>
          <w:numId w:val="1"/>
        </w:numPr>
        <w:spacing w:before="30" w:after="30" w:line="264" w:lineRule="atLeast"/>
        <w:ind w:left="0"/>
        <w:rPr>
          <w:rFonts w:eastAsia="Times New Roman" w:cs="Arial"/>
          <w:color w:val="333333"/>
          <w:sz w:val="20"/>
          <w:szCs w:val="20"/>
        </w:rPr>
      </w:pPr>
      <w:r w:rsidRPr="003F21DB">
        <w:rPr>
          <w:rFonts w:eastAsia="Times New Roman" w:cs="Arial"/>
          <w:color w:val="333333"/>
          <w:sz w:val="20"/>
          <w:szCs w:val="20"/>
        </w:rPr>
        <w:t>Properties that fall within the mid-price range. </w:t>
      </w:r>
    </w:p>
    <w:p w:rsidR="00B9023B" w:rsidRPr="003F21DB" w:rsidRDefault="00B9023B" w:rsidP="00B9023B">
      <w:pPr>
        <w:numPr>
          <w:ilvl w:val="0"/>
          <w:numId w:val="1"/>
        </w:numPr>
        <w:spacing w:before="30" w:after="30" w:line="264" w:lineRule="atLeast"/>
        <w:ind w:left="0"/>
        <w:rPr>
          <w:rFonts w:eastAsia="Times New Roman" w:cs="Arial"/>
          <w:color w:val="333333"/>
          <w:sz w:val="20"/>
          <w:szCs w:val="20"/>
        </w:rPr>
      </w:pPr>
      <w:r w:rsidRPr="003F21DB">
        <w:rPr>
          <w:rFonts w:eastAsia="Times New Roman" w:cs="Arial"/>
          <w:color w:val="333333"/>
          <w:sz w:val="20"/>
          <w:szCs w:val="20"/>
        </w:rPr>
        <w:t>Data from the prior 12-month period.  For FY 201</w:t>
      </w:r>
      <w:r w:rsidR="0095712F">
        <w:rPr>
          <w:rFonts w:eastAsia="Times New Roman" w:cs="Arial"/>
          <w:color w:val="333333"/>
          <w:sz w:val="20"/>
          <w:szCs w:val="20"/>
        </w:rPr>
        <w:t>7</w:t>
      </w:r>
      <w:r w:rsidRPr="003F21DB">
        <w:rPr>
          <w:rFonts w:eastAsia="Times New Roman" w:cs="Arial"/>
          <w:color w:val="333333"/>
          <w:sz w:val="20"/>
          <w:szCs w:val="20"/>
        </w:rPr>
        <w:t>, this is from April 201</w:t>
      </w:r>
      <w:r w:rsidR="0095712F">
        <w:rPr>
          <w:rFonts w:eastAsia="Times New Roman" w:cs="Arial"/>
          <w:color w:val="333333"/>
          <w:sz w:val="20"/>
          <w:szCs w:val="20"/>
        </w:rPr>
        <w:t>5</w:t>
      </w:r>
      <w:r w:rsidRPr="003F21DB">
        <w:rPr>
          <w:rFonts w:eastAsia="Times New Roman" w:cs="Arial"/>
          <w:color w:val="333333"/>
          <w:sz w:val="20"/>
          <w:szCs w:val="20"/>
        </w:rPr>
        <w:t xml:space="preserve"> through March 201</w:t>
      </w:r>
      <w:r w:rsidR="0095712F">
        <w:rPr>
          <w:rFonts w:eastAsia="Times New Roman" w:cs="Arial"/>
          <w:color w:val="333333"/>
          <w:sz w:val="20"/>
          <w:szCs w:val="20"/>
        </w:rPr>
        <w:t>6</w:t>
      </w:r>
      <w:r w:rsidRPr="003F21DB">
        <w:rPr>
          <w:rFonts w:eastAsia="Times New Roman" w:cs="Arial"/>
          <w:color w:val="333333"/>
          <w:sz w:val="20"/>
          <w:szCs w:val="20"/>
        </w:rPr>
        <w:t>;</w:t>
      </w:r>
    </w:p>
    <w:p w:rsidR="00B9023B" w:rsidRPr="003F21DB" w:rsidRDefault="00B9023B" w:rsidP="00B9023B">
      <w:pPr>
        <w:numPr>
          <w:ilvl w:val="0"/>
          <w:numId w:val="1"/>
        </w:numPr>
        <w:spacing w:before="30" w:after="30" w:line="264" w:lineRule="atLeast"/>
        <w:ind w:left="0"/>
        <w:rPr>
          <w:rFonts w:eastAsia="Times New Roman" w:cs="Arial"/>
          <w:color w:val="333333"/>
          <w:sz w:val="20"/>
          <w:szCs w:val="20"/>
        </w:rPr>
      </w:pPr>
      <w:r w:rsidRPr="003F21DB">
        <w:rPr>
          <w:rFonts w:eastAsia="Times New Roman" w:cs="Arial"/>
          <w:color w:val="333333"/>
          <w:sz w:val="20"/>
          <w:szCs w:val="20"/>
        </w:rPr>
        <w:t>Business travel week data (Monday through Thursday)</w:t>
      </w:r>
      <w:r w:rsidR="00A53D44">
        <w:rPr>
          <w:rFonts w:eastAsia="Times New Roman" w:cs="Arial"/>
          <w:color w:val="333333"/>
          <w:sz w:val="20"/>
          <w:szCs w:val="20"/>
        </w:rPr>
        <w:t>.</w:t>
      </w:r>
    </w:p>
    <w:p w:rsidR="00B9023B" w:rsidRPr="003F21DB" w:rsidRDefault="00B9023B" w:rsidP="00B9023B">
      <w:pPr>
        <w:spacing w:before="240" w:after="240" w:line="240" w:lineRule="atLeast"/>
        <w:rPr>
          <w:rFonts w:eastAsia="Times New Roman" w:cs="Arial"/>
          <w:color w:val="333333"/>
          <w:sz w:val="20"/>
          <w:szCs w:val="20"/>
        </w:rPr>
      </w:pPr>
      <w:r w:rsidRPr="003F21DB">
        <w:rPr>
          <w:rFonts w:eastAsia="Times New Roman" w:cs="Arial"/>
          <w:color w:val="333333"/>
          <w:sz w:val="20"/>
          <w:szCs w:val="20"/>
        </w:rPr>
        <w:t xml:space="preserve">Agencies are reminded that the Federal Travel Regulation allows for actual expense reimbursement when per diem rates are insufficient to meet necessary expenses. Please see </w:t>
      </w:r>
      <w:hyperlink r:id="rId8" w:anchor="wp1089939" w:history="1">
        <w:r w:rsidRPr="003F21DB">
          <w:rPr>
            <w:rFonts w:eastAsia="Times New Roman" w:cs="Arial"/>
            <w:color w:val="282E8C"/>
            <w:sz w:val="20"/>
            <w:szCs w:val="20"/>
            <w:u w:val="single"/>
          </w:rPr>
          <w:t>FTR §301-11.300 through 306</w:t>
        </w:r>
      </w:hyperlink>
      <w:r w:rsidRPr="003F21DB">
        <w:rPr>
          <w:rFonts w:eastAsia="Times New Roman" w:cs="Arial"/>
          <w:color w:val="333333"/>
          <w:sz w:val="20"/>
          <w:szCs w:val="20"/>
        </w:rPr>
        <w:t xml:space="preserve"> for more information.</w:t>
      </w:r>
    </w:p>
    <w:p w:rsidR="009219B7" w:rsidRDefault="00B9023B" w:rsidP="003F21DB">
      <w:pPr>
        <w:rPr>
          <w:rFonts w:eastAsia="Times New Roman" w:cs="Arial"/>
          <w:sz w:val="20"/>
          <w:szCs w:val="20"/>
        </w:rPr>
      </w:pPr>
      <w:r w:rsidRPr="003F21DB">
        <w:rPr>
          <w:rFonts w:eastAsia="Times New Roman" w:cs="Arial"/>
          <w:b/>
          <w:bCs/>
          <w:color w:val="333333"/>
          <w:sz w:val="20"/>
          <w:szCs w:val="20"/>
        </w:rPr>
        <w:t xml:space="preserve">FY </w:t>
      </w:r>
      <w:r w:rsidR="00575995" w:rsidRPr="003F21DB">
        <w:rPr>
          <w:rFonts w:eastAsia="Times New Roman" w:cs="Arial"/>
          <w:b/>
          <w:bCs/>
          <w:color w:val="333333"/>
          <w:sz w:val="20"/>
          <w:szCs w:val="20"/>
        </w:rPr>
        <w:t>20</w:t>
      </w:r>
      <w:r w:rsidRPr="003F21DB">
        <w:rPr>
          <w:rFonts w:eastAsia="Times New Roman" w:cs="Arial"/>
          <w:b/>
          <w:bCs/>
          <w:color w:val="333333"/>
          <w:sz w:val="20"/>
          <w:szCs w:val="20"/>
        </w:rPr>
        <w:t>1</w:t>
      </w:r>
      <w:r w:rsidR="0095712F">
        <w:rPr>
          <w:rFonts w:eastAsia="Times New Roman" w:cs="Arial"/>
          <w:b/>
          <w:bCs/>
          <w:color w:val="333333"/>
          <w:sz w:val="20"/>
          <w:szCs w:val="20"/>
        </w:rPr>
        <w:t>7</w:t>
      </w:r>
      <w:r w:rsidRPr="003F21DB">
        <w:rPr>
          <w:rFonts w:eastAsia="Times New Roman" w:cs="Arial"/>
          <w:b/>
          <w:bCs/>
          <w:color w:val="333333"/>
          <w:sz w:val="20"/>
          <w:szCs w:val="20"/>
        </w:rPr>
        <w:t xml:space="preserve"> Results</w:t>
      </w:r>
      <w:proofErr w:type="gramStart"/>
      <w:r w:rsidRPr="003F21DB">
        <w:rPr>
          <w:rFonts w:eastAsia="Times New Roman" w:cs="Arial"/>
          <w:b/>
          <w:bCs/>
          <w:color w:val="333333"/>
          <w:sz w:val="20"/>
          <w:szCs w:val="20"/>
        </w:rPr>
        <w:t>:</w:t>
      </w:r>
      <w:bookmarkStart w:id="0" w:name="_GoBack"/>
      <w:bookmarkEnd w:id="0"/>
      <w:proofErr w:type="gramEnd"/>
      <w:r w:rsidRPr="003F21DB">
        <w:rPr>
          <w:rFonts w:eastAsia="Times New Roman" w:cs="Arial"/>
          <w:color w:val="333333"/>
          <w:sz w:val="20"/>
          <w:szCs w:val="20"/>
        </w:rPr>
        <w:br/>
      </w:r>
      <w:r w:rsidRPr="003F21DB">
        <w:rPr>
          <w:rFonts w:eastAsia="Times New Roman" w:cs="Arial"/>
          <w:color w:val="333333"/>
          <w:sz w:val="20"/>
          <w:szCs w:val="20"/>
        </w:rPr>
        <w:br/>
      </w:r>
      <w:r w:rsidR="0095712F">
        <w:rPr>
          <w:rFonts w:eastAsia="Times New Roman" w:cs="Arial"/>
          <w:sz w:val="20"/>
          <w:szCs w:val="20"/>
        </w:rPr>
        <w:t>There are no new NSA locations this year.</w:t>
      </w:r>
    </w:p>
    <w:p w:rsidR="00B9023B" w:rsidRDefault="00B9023B" w:rsidP="00B9023B">
      <w:pPr>
        <w:spacing w:after="0" w:line="240" w:lineRule="atLeast"/>
        <w:rPr>
          <w:rFonts w:eastAsia="Times New Roman" w:cs="Arial"/>
          <w:sz w:val="20"/>
          <w:szCs w:val="20"/>
        </w:rPr>
      </w:pPr>
      <w:r w:rsidRPr="00286D45">
        <w:rPr>
          <w:rFonts w:eastAsia="Times New Roman" w:cs="Arial"/>
          <w:sz w:val="20"/>
          <w:szCs w:val="20"/>
        </w:rPr>
        <w:t>In FY 201</w:t>
      </w:r>
      <w:r w:rsidR="0095712F">
        <w:rPr>
          <w:rFonts w:eastAsia="Times New Roman" w:cs="Arial"/>
          <w:sz w:val="20"/>
          <w:szCs w:val="20"/>
        </w:rPr>
        <w:t>7</w:t>
      </w:r>
      <w:r w:rsidRPr="00286D45">
        <w:rPr>
          <w:rFonts w:eastAsia="Times New Roman" w:cs="Arial"/>
          <w:sz w:val="20"/>
          <w:szCs w:val="20"/>
        </w:rPr>
        <w:t xml:space="preserve">, </w:t>
      </w:r>
      <w:r w:rsidR="0095712F">
        <w:rPr>
          <w:rFonts w:eastAsia="Times New Roman" w:cs="Arial"/>
          <w:sz w:val="20"/>
          <w:szCs w:val="20"/>
        </w:rPr>
        <w:t xml:space="preserve">three </w:t>
      </w:r>
      <w:r w:rsidRPr="00286D45">
        <w:rPr>
          <w:rFonts w:eastAsia="Times New Roman" w:cs="Arial"/>
          <w:sz w:val="20"/>
          <w:szCs w:val="20"/>
        </w:rPr>
        <w:t xml:space="preserve">locations </w:t>
      </w:r>
      <w:r w:rsidR="00575995" w:rsidRPr="00286D45">
        <w:rPr>
          <w:rFonts w:eastAsia="Times New Roman" w:cs="Arial"/>
          <w:sz w:val="20"/>
          <w:szCs w:val="20"/>
        </w:rPr>
        <w:t>that were NSAs in FY 201</w:t>
      </w:r>
      <w:r w:rsidR="0095712F">
        <w:rPr>
          <w:rFonts w:eastAsia="Times New Roman" w:cs="Arial"/>
          <w:sz w:val="20"/>
          <w:szCs w:val="20"/>
        </w:rPr>
        <w:t>6</w:t>
      </w:r>
      <w:r w:rsidR="00575995" w:rsidRPr="00286D45">
        <w:rPr>
          <w:rFonts w:eastAsia="Times New Roman" w:cs="Arial"/>
          <w:sz w:val="20"/>
          <w:szCs w:val="20"/>
        </w:rPr>
        <w:t xml:space="preserve"> will </w:t>
      </w:r>
      <w:r w:rsidRPr="00286D45">
        <w:rPr>
          <w:rFonts w:eastAsia="Times New Roman" w:cs="Arial"/>
          <w:sz w:val="20"/>
          <w:szCs w:val="20"/>
        </w:rPr>
        <w:t xml:space="preserve">move into the standard CONUS rate category. </w:t>
      </w:r>
      <w:r w:rsidR="00575995" w:rsidRPr="00286D45">
        <w:rPr>
          <w:rFonts w:eastAsia="Times New Roman" w:cs="Arial"/>
          <w:sz w:val="20"/>
          <w:szCs w:val="20"/>
        </w:rPr>
        <w:t>They include:</w:t>
      </w:r>
    </w:p>
    <w:p w:rsidR="009219B7" w:rsidRDefault="009219B7" w:rsidP="00B9023B">
      <w:pPr>
        <w:spacing w:after="0" w:line="240" w:lineRule="atLeast"/>
        <w:rPr>
          <w:rFonts w:eastAsia="Times New Roman" w:cs="Arial"/>
          <w:sz w:val="20"/>
          <w:szCs w:val="20"/>
        </w:rPr>
      </w:pPr>
    </w:p>
    <w:tbl>
      <w:tblPr>
        <w:tblStyle w:val="LightList-Accent1"/>
        <w:tblW w:w="7200" w:type="dxa"/>
        <w:tblLook w:val="0420" w:firstRow="1" w:lastRow="0" w:firstColumn="0" w:lastColumn="0" w:noHBand="0" w:noVBand="1"/>
      </w:tblPr>
      <w:tblGrid>
        <w:gridCol w:w="7200"/>
      </w:tblGrid>
      <w:tr w:rsidR="009219B7" w:rsidRPr="009219B7" w:rsidTr="005D4B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0"/>
        </w:trPr>
        <w:tc>
          <w:tcPr>
            <w:tcW w:w="7200" w:type="dxa"/>
            <w:hideMark/>
          </w:tcPr>
          <w:p w:rsidR="009219B7" w:rsidRPr="009219B7" w:rsidRDefault="005D4B2E" w:rsidP="009219B7">
            <w:pPr>
              <w:rPr>
                <w:rFonts w:eastAsia="Times New Roman" w:cs="Arial"/>
                <w:sz w:val="24"/>
                <w:szCs w:val="24"/>
              </w:rPr>
            </w:pPr>
            <w:r w:rsidRPr="005D4B2E">
              <w:rPr>
                <w:rFonts w:eastAsia="Times New Roman" w:cs="Arial"/>
                <w:bCs w:val="0"/>
                <w:kern w:val="24"/>
                <w:sz w:val="24"/>
                <w:szCs w:val="24"/>
              </w:rPr>
              <w:t>Destination/State</w:t>
            </w:r>
          </w:p>
        </w:tc>
      </w:tr>
      <w:tr w:rsidR="005D4B2E" w:rsidRPr="005D4B2E" w:rsidTr="00C71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7200" w:type="dxa"/>
          </w:tcPr>
          <w:p w:rsidR="005D4B2E" w:rsidRPr="005D4B2E" w:rsidRDefault="0095712F" w:rsidP="009219B7">
            <w:pPr>
              <w:rPr>
                <w:rFonts w:eastAsia="Times New Roman" w:cs="Arial"/>
                <w:color w:val="003399"/>
                <w:kern w:val="24"/>
                <w:sz w:val="24"/>
                <w:szCs w:val="24"/>
              </w:rPr>
            </w:pPr>
            <w:r>
              <w:rPr>
                <w:rFonts w:eastAsia="Times New Roman" w:cs="Arial"/>
                <w:bCs/>
                <w:color w:val="003399"/>
                <w:kern w:val="24"/>
                <w:sz w:val="24"/>
                <w:szCs w:val="24"/>
              </w:rPr>
              <w:t>Lexington Park / Leonardtown/ Lusby, MD</w:t>
            </w:r>
          </w:p>
        </w:tc>
      </w:tr>
      <w:tr w:rsidR="009219B7" w:rsidRPr="009219B7" w:rsidTr="005D4B2E">
        <w:trPr>
          <w:trHeight w:val="412"/>
        </w:trPr>
        <w:tc>
          <w:tcPr>
            <w:tcW w:w="7200" w:type="dxa"/>
            <w:hideMark/>
          </w:tcPr>
          <w:p w:rsidR="009219B7" w:rsidRPr="009219B7" w:rsidRDefault="0095712F" w:rsidP="009219B7">
            <w:pPr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color w:val="003399"/>
                <w:kern w:val="24"/>
                <w:sz w:val="24"/>
                <w:szCs w:val="24"/>
              </w:rPr>
              <w:t>New Bern, NC</w:t>
            </w:r>
          </w:p>
        </w:tc>
      </w:tr>
      <w:tr w:rsidR="009219B7" w:rsidRPr="009219B7" w:rsidTr="005D4B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tcW w:w="7200" w:type="dxa"/>
            <w:hideMark/>
          </w:tcPr>
          <w:p w:rsidR="009219B7" w:rsidRPr="009219B7" w:rsidRDefault="0095712F" w:rsidP="009219B7">
            <w:pPr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color w:val="013C88"/>
                <w:kern w:val="24"/>
                <w:sz w:val="24"/>
                <w:szCs w:val="24"/>
              </w:rPr>
              <w:t>Minot, ND</w:t>
            </w:r>
          </w:p>
        </w:tc>
      </w:tr>
    </w:tbl>
    <w:p w:rsidR="00E2455B" w:rsidRPr="005D4B2E" w:rsidRDefault="00E2455B" w:rsidP="00B9023B">
      <w:pPr>
        <w:spacing w:after="0" w:line="240" w:lineRule="atLeast"/>
        <w:rPr>
          <w:rFonts w:eastAsia="Times New Roman" w:cs="Arial"/>
          <w:sz w:val="24"/>
          <w:szCs w:val="24"/>
        </w:rPr>
      </w:pPr>
    </w:p>
    <w:p w:rsidR="00E2455B" w:rsidRPr="005D4B2E" w:rsidRDefault="00E2455B" w:rsidP="00B9023B">
      <w:pPr>
        <w:spacing w:after="0" w:line="240" w:lineRule="atLeast"/>
        <w:rPr>
          <w:rFonts w:eastAsia="Times New Roman" w:cs="Arial"/>
          <w:sz w:val="24"/>
          <w:szCs w:val="24"/>
        </w:rPr>
      </w:pPr>
    </w:p>
    <w:p w:rsidR="00E2455B" w:rsidRPr="005D4B2E" w:rsidRDefault="00E2455B" w:rsidP="00B9023B">
      <w:pPr>
        <w:spacing w:after="0" w:line="240" w:lineRule="atLeast"/>
        <w:rPr>
          <w:rFonts w:eastAsia="Times New Roman" w:cs="Arial"/>
          <w:sz w:val="24"/>
          <w:szCs w:val="24"/>
        </w:rPr>
      </w:pPr>
    </w:p>
    <w:p w:rsidR="00575995" w:rsidRPr="005D4B2E" w:rsidRDefault="00575995" w:rsidP="00B9023B">
      <w:pPr>
        <w:spacing w:after="0" w:line="240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</w:p>
    <w:p w:rsidR="00B71BE2" w:rsidRPr="005D4B2E" w:rsidRDefault="00B71BE2">
      <w:pPr>
        <w:rPr>
          <w:sz w:val="24"/>
          <w:szCs w:val="24"/>
        </w:rPr>
      </w:pPr>
    </w:p>
    <w:sectPr w:rsidR="00B71BE2" w:rsidRPr="005D4B2E" w:rsidSect="00B71B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026C2"/>
    <w:multiLevelType w:val="multilevel"/>
    <w:tmpl w:val="6848E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23B"/>
    <w:rsid w:val="000538B9"/>
    <w:rsid w:val="000D4299"/>
    <w:rsid w:val="000F0D13"/>
    <w:rsid w:val="00286D45"/>
    <w:rsid w:val="002D5291"/>
    <w:rsid w:val="003F21DB"/>
    <w:rsid w:val="0051347D"/>
    <w:rsid w:val="00575995"/>
    <w:rsid w:val="005D4B2E"/>
    <w:rsid w:val="006B5011"/>
    <w:rsid w:val="007A4800"/>
    <w:rsid w:val="009219B7"/>
    <w:rsid w:val="0095712F"/>
    <w:rsid w:val="00A53D44"/>
    <w:rsid w:val="00A5534C"/>
    <w:rsid w:val="00A60771"/>
    <w:rsid w:val="00B11087"/>
    <w:rsid w:val="00B71BE2"/>
    <w:rsid w:val="00B9023B"/>
    <w:rsid w:val="00BD25CD"/>
    <w:rsid w:val="00C71BE8"/>
    <w:rsid w:val="00CA4ABC"/>
    <w:rsid w:val="00E2455B"/>
    <w:rsid w:val="00F02B96"/>
    <w:rsid w:val="00FB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BE2"/>
  </w:style>
  <w:style w:type="paragraph" w:styleId="Heading2">
    <w:name w:val="heading 2"/>
    <w:basedOn w:val="Normal"/>
    <w:link w:val="Heading2Char"/>
    <w:uiPriority w:val="9"/>
    <w:qFormat/>
    <w:rsid w:val="00B9023B"/>
    <w:pPr>
      <w:spacing w:after="0" w:line="264" w:lineRule="atLeast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9023B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9023B"/>
    <w:rPr>
      <w:b/>
      <w:bCs/>
      <w:i w:val="0"/>
      <w:iCs w:val="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9023B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21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5D4B2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5D4B2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BE2"/>
  </w:style>
  <w:style w:type="paragraph" w:styleId="Heading2">
    <w:name w:val="heading 2"/>
    <w:basedOn w:val="Normal"/>
    <w:link w:val="Heading2Char"/>
    <w:uiPriority w:val="9"/>
    <w:qFormat/>
    <w:rsid w:val="00B9023B"/>
    <w:pPr>
      <w:spacing w:after="0" w:line="264" w:lineRule="atLeast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9023B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9023B"/>
    <w:rPr>
      <w:b/>
      <w:bCs/>
      <w:i w:val="0"/>
      <w:iCs w:val="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9023B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21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5D4B2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5D4B2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5231">
              <w:marLeft w:val="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46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4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4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sa.gov/portal/ext/public/site/FTR/file/Chapter301p011.html/category/21868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sfa.dhs.gov/applications/hote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sa.gov/portal/content/10198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GSA</Company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JillDenning</dc:creator>
  <cp:lastModifiedBy>Jill Denning</cp:lastModifiedBy>
  <cp:revision>2</cp:revision>
  <dcterms:created xsi:type="dcterms:W3CDTF">2016-08-01T20:28:00Z</dcterms:created>
  <dcterms:modified xsi:type="dcterms:W3CDTF">2016-08-01T20:28:00Z</dcterms:modified>
</cp:coreProperties>
</file>