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9818FD9" w:rsidR="002F45B6" w:rsidRDefault="00000000">
      <w:pPr>
        <w:spacing w:after="240"/>
        <w:rPr>
          <w:rFonts w:ascii="Helvetica Neue" w:eastAsia="Helvetica Neue" w:hAnsi="Helvetica Neue" w:cs="Helvetica Neue"/>
          <w:b/>
          <w:color w:val="333333"/>
          <w:sz w:val="48"/>
          <w:szCs w:val="48"/>
        </w:rPr>
      </w:pPr>
      <w:r>
        <w:rPr>
          <w:rFonts w:ascii="Helvetica Neue" w:eastAsia="Helvetica Neue" w:hAnsi="Helvetica Neue" w:cs="Helvetica Neue"/>
          <w:b/>
          <w:color w:val="333333"/>
          <w:sz w:val="48"/>
          <w:szCs w:val="48"/>
        </w:rPr>
        <w:t xml:space="preserve">FY 2025 </w:t>
      </w:r>
      <w:r w:rsidR="009E33DE">
        <w:rPr>
          <w:rFonts w:ascii="Helvetica Neue" w:eastAsia="Helvetica Neue" w:hAnsi="Helvetica Neue" w:cs="Helvetica Neue"/>
          <w:b/>
          <w:color w:val="333333"/>
          <w:sz w:val="48"/>
          <w:szCs w:val="48"/>
        </w:rPr>
        <w:t>p</w:t>
      </w:r>
      <w:r>
        <w:rPr>
          <w:rFonts w:ascii="Helvetica Neue" w:eastAsia="Helvetica Neue" w:hAnsi="Helvetica Neue" w:cs="Helvetica Neue"/>
          <w:b/>
          <w:color w:val="333333"/>
          <w:sz w:val="48"/>
          <w:szCs w:val="48"/>
        </w:rPr>
        <w:t xml:space="preserve">er </w:t>
      </w:r>
      <w:r w:rsidR="009E33DE">
        <w:rPr>
          <w:rFonts w:ascii="Helvetica Neue" w:eastAsia="Helvetica Neue" w:hAnsi="Helvetica Neue" w:cs="Helvetica Neue"/>
          <w:b/>
          <w:color w:val="333333"/>
          <w:sz w:val="48"/>
          <w:szCs w:val="48"/>
        </w:rPr>
        <w:t>d</w:t>
      </w:r>
      <w:r>
        <w:rPr>
          <w:rFonts w:ascii="Helvetica Neue" w:eastAsia="Helvetica Neue" w:hAnsi="Helvetica Neue" w:cs="Helvetica Neue"/>
          <w:b/>
          <w:color w:val="333333"/>
          <w:sz w:val="48"/>
          <w:szCs w:val="48"/>
        </w:rPr>
        <w:t xml:space="preserve">iem </w:t>
      </w:r>
      <w:r w:rsidR="009E33DE">
        <w:rPr>
          <w:rFonts w:ascii="Helvetica Neue" w:eastAsia="Helvetica Neue" w:hAnsi="Helvetica Neue" w:cs="Helvetica Neue"/>
          <w:b/>
          <w:color w:val="333333"/>
          <w:sz w:val="48"/>
          <w:szCs w:val="48"/>
        </w:rPr>
        <w:t>h</w:t>
      </w:r>
      <w:r>
        <w:rPr>
          <w:rFonts w:ascii="Helvetica Neue" w:eastAsia="Helvetica Neue" w:hAnsi="Helvetica Neue" w:cs="Helvetica Neue"/>
          <w:b/>
          <w:color w:val="333333"/>
          <w:sz w:val="48"/>
          <w:szCs w:val="48"/>
        </w:rPr>
        <w:t>ighlights</w:t>
      </w:r>
    </w:p>
    <w:p w14:paraId="00000002" w14:textId="77777777" w:rsidR="002F45B6" w:rsidRDefault="00000000">
      <w:pPr>
        <w:pBdr>
          <w:top w:val="nil"/>
          <w:left w:val="nil"/>
          <w:bottom w:val="nil"/>
          <w:right w:val="nil"/>
          <w:between w:val="nil"/>
        </w:pBdr>
        <w:spacing w:before="240" w:after="240"/>
        <w:rPr>
          <w:rFonts w:ascii="Helvetica Neue" w:eastAsia="Helvetica Neue" w:hAnsi="Helvetica Neue" w:cs="Helvetica Neue"/>
          <w:color w:val="000000"/>
        </w:rPr>
      </w:pPr>
      <w:r>
        <w:rPr>
          <w:rFonts w:ascii="Helvetica Neue" w:eastAsia="Helvetica Neue" w:hAnsi="Helvetica Neue" w:cs="Helvetica Neue"/>
          <w:color w:val="333333"/>
        </w:rPr>
        <w:t>We establish the per diem rates for the continental United States (CONUS), which includes the 48 contiguous states and the District of Columbia. Federal agencies use the per diem rates to reimburse their employees for subsistence expenses incurred while on official travel.</w:t>
      </w:r>
    </w:p>
    <w:p w14:paraId="00000003" w14:textId="52549480" w:rsidR="002F45B6" w:rsidRDefault="00000000">
      <w:pPr>
        <w:pBdr>
          <w:top w:val="nil"/>
          <w:left w:val="nil"/>
          <w:bottom w:val="nil"/>
          <w:right w:val="nil"/>
          <w:between w:val="nil"/>
        </w:pBdr>
        <w:spacing w:before="240" w:after="240"/>
        <w:rPr>
          <w:rFonts w:ascii="Helvetica Neue" w:eastAsia="Helvetica Neue" w:hAnsi="Helvetica Neue" w:cs="Helvetica Neue"/>
          <w:color w:val="000000"/>
        </w:rPr>
      </w:pPr>
      <w:r>
        <w:rPr>
          <w:rFonts w:ascii="Helvetica Neue" w:eastAsia="Helvetica Neue" w:hAnsi="Helvetica Neue" w:cs="Helvetica Neue"/>
          <w:color w:val="333333"/>
        </w:rPr>
        <w:t xml:space="preserve">Federal per diem rates consist of a maximum lodging allowance component and a meals and incidental expenses (M&amp;IE) component. </w:t>
      </w:r>
      <w:r w:rsidR="0009529B">
        <w:rPr>
          <w:rFonts w:ascii="Helvetica Neue" w:eastAsia="Helvetica Neue" w:hAnsi="Helvetica Neue" w:cs="Helvetica Neue"/>
          <w:color w:val="333333"/>
        </w:rPr>
        <w:t>The</w:t>
      </w:r>
      <w:r>
        <w:rPr>
          <w:rFonts w:ascii="Helvetica Neue" w:eastAsia="Helvetica Neue" w:hAnsi="Helvetica Neue" w:cs="Helvetica Neue"/>
          <w:color w:val="333333"/>
        </w:rPr>
        <w:t xml:space="preserve"> standard rate of $178 ($110 lodging, $68 M&amp;IE)</w:t>
      </w:r>
      <w:r w:rsidR="0009529B">
        <w:rPr>
          <w:rFonts w:ascii="Helvetica Neue" w:eastAsia="Helvetica Neue" w:hAnsi="Helvetica Neue" w:cs="Helvetica Neue"/>
          <w:color w:val="333333"/>
        </w:rPr>
        <w:t xml:space="preserve"> applies to most of CONUS</w:t>
      </w:r>
      <w:r>
        <w:rPr>
          <w:rFonts w:ascii="Helvetica Neue" w:eastAsia="Helvetica Neue" w:hAnsi="Helvetica Neue" w:cs="Helvetica Neue"/>
          <w:color w:val="333333"/>
        </w:rPr>
        <w:t xml:space="preserve">. </w:t>
      </w:r>
      <w:r w:rsidR="0009529B">
        <w:rPr>
          <w:rFonts w:ascii="Helvetica Neue" w:eastAsia="Helvetica Neue" w:hAnsi="Helvetica Neue" w:cs="Helvetica Neue"/>
          <w:color w:val="333333"/>
        </w:rPr>
        <w:t xml:space="preserve">For </w:t>
      </w:r>
      <w:r>
        <w:rPr>
          <w:rFonts w:ascii="Helvetica Neue" w:eastAsia="Helvetica Neue" w:hAnsi="Helvetica Neue" w:cs="Helvetica Neue"/>
          <w:color w:val="333333"/>
        </w:rPr>
        <w:t>fiscal year (FY) 2025, there are 296 non-standard areas (NSAs) that have per diem rates higher than the standard rate.</w:t>
      </w:r>
    </w:p>
    <w:p w14:paraId="00000004" w14:textId="27928821" w:rsidR="002F45B6" w:rsidRDefault="00000000">
      <w:pPr>
        <w:pBdr>
          <w:top w:val="nil"/>
          <w:left w:val="nil"/>
          <w:bottom w:val="nil"/>
          <w:right w:val="nil"/>
          <w:between w:val="nil"/>
        </w:pBdr>
        <w:spacing w:before="240" w:after="240"/>
        <w:rPr>
          <w:rFonts w:ascii="Helvetica Neue" w:eastAsia="Helvetica Neue" w:hAnsi="Helvetica Neue" w:cs="Helvetica Neue"/>
          <w:color w:val="000000"/>
        </w:rPr>
      </w:pPr>
      <w:r>
        <w:rPr>
          <w:rFonts w:ascii="Helvetica Neue" w:eastAsia="Helvetica Neue" w:hAnsi="Helvetica Neue" w:cs="Helvetica Neue"/>
          <w:color w:val="333333"/>
        </w:rPr>
        <w:t xml:space="preserve">Since FY 2005, we have based the maximum lodging allowances on average daily rate (ADR) data. ADR is a widely accepted lodging industry measure derived from a property's room rental revenue divided by the number of rooms rented. This calculation provides us with the average rate in an area. For more information about how lodging per diem rates are determined, visit </w:t>
      </w:r>
      <w:hyperlink r:id="rId6">
        <w:r w:rsidR="009E33DE">
          <w:rPr>
            <w:rFonts w:ascii="Helvetica Neue" w:eastAsia="Helvetica Neue" w:hAnsi="Helvetica Neue" w:cs="Helvetica Neue"/>
            <w:color w:val="1155CC"/>
            <w:u w:val="single"/>
          </w:rPr>
          <w:t>Factors influencing lodging rates</w:t>
        </w:r>
      </w:hyperlink>
      <w:r>
        <w:rPr>
          <w:rFonts w:ascii="Helvetica Neue" w:eastAsia="Helvetica Neue" w:hAnsi="Helvetica Neue" w:cs="Helvetica Neue"/>
          <w:color w:val="333333"/>
        </w:rPr>
        <w:t>.</w:t>
      </w:r>
    </w:p>
    <w:p w14:paraId="00000005" w14:textId="15C2F760" w:rsidR="002F45B6" w:rsidRDefault="00217901">
      <w:pPr>
        <w:pBdr>
          <w:top w:val="nil"/>
          <w:left w:val="nil"/>
          <w:bottom w:val="nil"/>
          <w:right w:val="nil"/>
          <w:between w:val="nil"/>
        </w:pBdr>
        <w:spacing w:before="240" w:after="240"/>
        <w:rPr>
          <w:rFonts w:ascii="Helvetica Neue" w:eastAsia="Helvetica Neue" w:hAnsi="Helvetica Neue" w:cs="Helvetica Neue"/>
          <w:color w:val="000000"/>
        </w:rPr>
      </w:pPr>
      <w:r>
        <w:rPr>
          <w:rFonts w:ascii="Helvetica Neue" w:eastAsia="Helvetica Neue" w:hAnsi="Helvetica Neue" w:cs="Helvetica Neue"/>
          <w:color w:val="333333"/>
        </w:rPr>
        <w:t xml:space="preserve">The Federal Travel Regulation (FTR) allows for actual expense reimbursement when per diem rates are insufficient to meet necessary expenses. Please see </w:t>
      </w:r>
      <w:hyperlink r:id="rId7">
        <w:r>
          <w:rPr>
            <w:rFonts w:ascii="Helvetica Neue" w:eastAsia="Helvetica Neue" w:hAnsi="Helvetica Neue" w:cs="Helvetica Neue"/>
            <w:color w:val="1155CC"/>
            <w:u w:val="single"/>
          </w:rPr>
          <w:t>FTR § § 301-11.300 through 11.306</w:t>
        </w:r>
      </w:hyperlink>
      <w:r>
        <w:rPr>
          <w:rFonts w:ascii="Helvetica Neue" w:eastAsia="Helvetica Neue" w:hAnsi="Helvetica Neue" w:cs="Helvetica Neue"/>
          <w:color w:val="333333"/>
        </w:rPr>
        <w:t xml:space="preserve"> for more information.</w:t>
      </w:r>
    </w:p>
    <w:p w14:paraId="00000006" w14:textId="7AE8E84F" w:rsidR="002F45B6" w:rsidRDefault="00000000">
      <w:pPr>
        <w:pBdr>
          <w:top w:val="nil"/>
          <w:left w:val="nil"/>
          <w:bottom w:val="nil"/>
          <w:right w:val="nil"/>
          <w:between w:val="nil"/>
        </w:pBdr>
        <w:spacing w:before="240" w:after="240"/>
        <w:rPr>
          <w:rFonts w:ascii="Helvetica Neue" w:eastAsia="Helvetica Neue" w:hAnsi="Helvetica Neue" w:cs="Helvetica Neue"/>
          <w:color w:val="000000"/>
        </w:rPr>
      </w:pPr>
      <w:r>
        <w:rPr>
          <w:rFonts w:ascii="Helvetica Neue" w:eastAsia="Helvetica Neue" w:hAnsi="Helvetica Neue" w:cs="Helvetica Neue"/>
          <w:b/>
          <w:color w:val="333333"/>
        </w:rPr>
        <w:t>FY 202</w:t>
      </w:r>
      <w:r w:rsidR="0009529B">
        <w:rPr>
          <w:rFonts w:ascii="Helvetica Neue" w:eastAsia="Helvetica Neue" w:hAnsi="Helvetica Neue" w:cs="Helvetica Neue"/>
          <w:b/>
          <w:color w:val="333333"/>
        </w:rPr>
        <w:t>5</w:t>
      </w:r>
      <w:r>
        <w:rPr>
          <w:rFonts w:ascii="Helvetica Neue" w:eastAsia="Helvetica Neue" w:hAnsi="Helvetica Neue" w:cs="Helvetica Neue"/>
          <w:b/>
          <w:color w:val="333333"/>
        </w:rPr>
        <w:t xml:space="preserve"> Results:</w:t>
      </w:r>
    </w:p>
    <w:p w14:paraId="00000007" w14:textId="68B24EC8" w:rsidR="002F45B6" w:rsidRDefault="00000000">
      <w:pPr>
        <w:pBdr>
          <w:top w:val="nil"/>
          <w:left w:val="nil"/>
          <w:bottom w:val="nil"/>
          <w:right w:val="nil"/>
          <w:between w:val="nil"/>
        </w:pBdr>
        <w:spacing w:before="240" w:after="240"/>
        <w:rPr>
          <w:rFonts w:ascii="Helvetica Neue" w:eastAsia="Helvetica Neue" w:hAnsi="Helvetica Neue" w:cs="Helvetica Neue"/>
          <w:color w:val="000000"/>
        </w:rPr>
      </w:pPr>
      <w:r>
        <w:rPr>
          <w:rFonts w:ascii="Helvetica Neue" w:eastAsia="Helvetica Neue" w:hAnsi="Helvetica Neue" w:cs="Helvetica Neue"/>
          <w:color w:val="333333"/>
        </w:rPr>
        <w:t xml:space="preserve">The standard CONUS lodging rate </w:t>
      </w:r>
      <w:r w:rsidR="00217901">
        <w:rPr>
          <w:rFonts w:ascii="Helvetica Neue" w:eastAsia="Helvetica Neue" w:hAnsi="Helvetica Neue" w:cs="Helvetica Neue"/>
          <w:color w:val="333333"/>
        </w:rPr>
        <w:t>increased from</w:t>
      </w:r>
      <w:r>
        <w:rPr>
          <w:rFonts w:ascii="Helvetica Neue" w:eastAsia="Helvetica Neue" w:hAnsi="Helvetica Neue" w:cs="Helvetica Neue"/>
          <w:color w:val="333333"/>
        </w:rPr>
        <w:t xml:space="preserve"> $</w:t>
      </w:r>
      <w:r w:rsidR="00217901">
        <w:rPr>
          <w:rFonts w:ascii="Helvetica Neue" w:eastAsia="Helvetica Neue" w:hAnsi="Helvetica Neue" w:cs="Helvetica Neue"/>
          <w:color w:val="333333"/>
        </w:rPr>
        <w:t>107</w:t>
      </w:r>
      <w:r>
        <w:rPr>
          <w:rFonts w:ascii="Helvetica Neue" w:eastAsia="Helvetica Neue" w:hAnsi="Helvetica Neue" w:cs="Helvetica Neue"/>
          <w:color w:val="333333"/>
        </w:rPr>
        <w:t xml:space="preserve"> to $1</w:t>
      </w:r>
      <w:r w:rsidR="0009529B">
        <w:rPr>
          <w:rFonts w:ascii="Helvetica Neue" w:eastAsia="Helvetica Neue" w:hAnsi="Helvetica Neue" w:cs="Helvetica Neue"/>
          <w:color w:val="333333"/>
        </w:rPr>
        <w:t>10</w:t>
      </w:r>
      <w:r>
        <w:rPr>
          <w:rFonts w:ascii="Helvetica Neue" w:eastAsia="Helvetica Neue" w:hAnsi="Helvetica Neue" w:cs="Helvetica Neue"/>
          <w:color w:val="333333"/>
        </w:rPr>
        <w:t xml:space="preserve">. The M&amp;IE </w:t>
      </w:r>
      <w:r w:rsidR="0009529B">
        <w:rPr>
          <w:rFonts w:ascii="Helvetica Neue" w:eastAsia="Helvetica Neue" w:hAnsi="Helvetica Neue" w:cs="Helvetica Neue"/>
          <w:color w:val="333333"/>
        </w:rPr>
        <w:t xml:space="preserve">rate </w:t>
      </w:r>
      <w:r>
        <w:rPr>
          <w:rFonts w:ascii="Helvetica Neue" w:eastAsia="Helvetica Neue" w:hAnsi="Helvetica Neue" w:cs="Helvetica Neue"/>
          <w:color w:val="333333"/>
        </w:rPr>
        <w:t xml:space="preserve">tiers </w:t>
      </w:r>
      <w:r w:rsidR="0009529B">
        <w:rPr>
          <w:rFonts w:ascii="Helvetica Neue" w:eastAsia="Helvetica Neue" w:hAnsi="Helvetica Neue" w:cs="Helvetica Neue"/>
          <w:color w:val="333333"/>
        </w:rPr>
        <w:t xml:space="preserve">were revised </w:t>
      </w:r>
      <w:r>
        <w:rPr>
          <w:rFonts w:ascii="Helvetica Neue" w:eastAsia="Helvetica Neue" w:hAnsi="Helvetica Neue" w:cs="Helvetica Neue"/>
          <w:color w:val="333333"/>
        </w:rPr>
        <w:t>for FY 202</w:t>
      </w:r>
      <w:r w:rsidR="0009529B">
        <w:rPr>
          <w:rFonts w:ascii="Helvetica Neue" w:eastAsia="Helvetica Neue" w:hAnsi="Helvetica Neue" w:cs="Helvetica Neue"/>
          <w:color w:val="333333"/>
        </w:rPr>
        <w:t>5</w:t>
      </w:r>
      <w:r w:rsidR="002B59A1">
        <w:rPr>
          <w:rFonts w:ascii="Helvetica Neue" w:eastAsia="Helvetica Neue" w:hAnsi="Helvetica Neue" w:cs="Helvetica Neue"/>
          <w:color w:val="333333"/>
        </w:rPr>
        <w:t>; they were last revised in FY 2022.</w:t>
      </w:r>
      <w:r w:rsidR="0009529B">
        <w:rPr>
          <w:rFonts w:ascii="Helvetica Neue" w:eastAsia="Helvetica Neue" w:hAnsi="Helvetica Neue" w:cs="Helvetica Neue"/>
          <w:color w:val="333333"/>
        </w:rPr>
        <w:t xml:space="preserve"> </w:t>
      </w:r>
      <w:r w:rsidR="002B59A1" w:rsidRPr="002B59A1">
        <w:rPr>
          <w:rFonts w:ascii="Helvetica Neue" w:eastAsia="Helvetica Neue" w:hAnsi="Helvetica Neue" w:cs="Helvetica Neue"/>
          <w:color w:val="333333"/>
        </w:rPr>
        <w:t xml:space="preserve">The standard M&amp;IE rate </w:t>
      </w:r>
      <w:r w:rsidR="002B59A1">
        <w:rPr>
          <w:rFonts w:ascii="Helvetica Neue" w:eastAsia="Helvetica Neue" w:hAnsi="Helvetica Neue" w:cs="Helvetica Neue"/>
          <w:color w:val="333333"/>
        </w:rPr>
        <w:t>increased</w:t>
      </w:r>
      <w:r w:rsidR="002B59A1" w:rsidRPr="002B59A1">
        <w:rPr>
          <w:rFonts w:ascii="Helvetica Neue" w:eastAsia="Helvetica Neue" w:hAnsi="Helvetica Neue" w:cs="Helvetica Neue"/>
          <w:color w:val="333333"/>
        </w:rPr>
        <w:t xml:space="preserve"> from $59 to $68, and the M&amp;IE rate tiers for non-standard areas increase</w:t>
      </w:r>
      <w:r w:rsidR="002B59A1">
        <w:rPr>
          <w:rFonts w:ascii="Helvetica Neue" w:eastAsia="Helvetica Neue" w:hAnsi="Helvetica Neue" w:cs="Helvetica Neue"/>
          <w:color w:val="333333"/>
        </w:rPr>
        <w:t xml:space="preserve">d </w:t>
      </w:r>
      <w:r w:rsidR="002B59A1" w:rsidRPr="002B59A1">
        <w:rPr>
          <w:rFonts w:ascii="Helvetica Neue" w:eastAsia="Helvetica Neue" w:hAnsi="Helvetica Neue" w:cs="Helvetica Neue"/>
          <w:color w:val="333333"/>
        </w:rPr>
        <w:t>from $59-$79 to $68-$92.</w:t>
      </w:r>
    </w:p>
    <w:p w14:paraId="0000000B" w14:textId="09C28774" w:rsidR="002F45B6" w:rsidRDefault="00000000">
      <w:pPr>
        <w:pBdr>
          <w:top w:val="nil"/>
          <w:left w:val="nil"/>
          <w:bottom w:val="nil"/>
          <w:right w:val="nil"/>
          <w:between w:val="nil"/>
        </w:pBdr>
        <w:spacing w:before="240" w:after="240"/>
        <w:rPr>
          <w:rFonts w:ascii="Helvetica Neue" w:eastAsia="Helvetica Neue" w:hAnsi="Helvetica Neue" w:cs="Helvetica Neue"/>
          <w:color w:val="000000"/>
        </w:rPr>
      </w:pPr>
      <w:r>
        <w:rPr>
          <w:rFonts w:ascii="Helvetica Neue" w:eastAsia="Helvetica Neue" w:hAnsi="Helvetica Neue" w:cs="Helvetica Neue"/>
          <w:color w:val="333333"/>
        </w:rPr>
        <w:t>The following locations that were NSAs (or part of an established NSA) in FY 202</w:t>
      </w:r>
      <w:r w:rsidR="002B59A1">
        <w:rPr>
          <w:rFonts w:ascii="Helvetica Neue" w:eastAsia="Helvetica Neue" w:hAnsi="Helvetica Neue" w:cs="Helvetica Neue"/>
          <w:color w:val="333333"/>
        </w:rPr>
        <w:t xml:space="preserve">4 </w:t>
      </w:r>
      <w:r>
        <w:rPr>
          <w:rFonts w:ascii="Helvetica Neue" w:eastAsia="Helvetica Neue" w:hAnsi="Helvetica Neue" w:cs="Helvetica Neue"/>
          <w:color w:val="333333"/>
        </w:rPr>
        <w:t>move</w:t>
      </w:r>
      <w:r w:rsidR="002B59A1">
        <w:rPr>
          <w:rFonts w:ascii="Helvetica Neue" w:eastAsia="Helvetica Neue" w:hAnsi="Helvetica Neue" w:cs="Helvetica Neue"/>
          <w:color w:val="333333"/>
        </w:rPr>
        <w:t>d</w:t>
      </w:r>
      <w:r>
        <w:rPr>
          <w:rFonts w:ascii="Helvetica Neue" w:eastAsia="Helvetica Neue" w:hAnsi="Helvetica Neue" w:cs="Helvetica Neue"/>
          <w:color w:val="333333"/>
        </w:rPr>
        <w:t xml:space="preserve"> into the standard CONUS rate category:</w:t>
      </w:r>
    </w:p>
    <w:p w14:paraId="48E73223" w14:textId="465B4C99" w:rsidR="002B59A1" w:rsidRDefault="002B59A1" w:rsidP="002B59A1">
      <w:pPr>
        <w:pStyle w:val="ListParagraph"/>
        <w:numPr>
          <w:ilvl w:val="0"/>
          <w:numId w:val="2"/>
        </w:numPr>
        <w:rPr>
          <w:rFonts w:ascii="Helvetica Neue" w:eastAsia="Helvetica Neue" w:hAnsi="Helvetica Neue" w:cs="Helvetica Neue"/>
        </w:rPr>
      </w:pPr>
      <w:r w:rsidRPr="002B59A1">
        <w:rPr>
          <w:rFonts w:ascii="Helvetica Neue" w:eastAsia="Helvetica Neue" w:hAnsi="Helvetica Neue" w:cs="Helvetica Neue"/>
        </w:rPr>
        <w:t>Ft. Wayne, IN</w:t>
      </w:r>
      <w:r>
        <w:rPr>
          <w:rFonts w:ascii="Helvetica Neue" w:eastAsia="Helvetica Neue" w:hAnsi="Helvetica Neue" w:cs="Helvetica Neue"/>
        </w:rPr>
        <w:t xml:space="preserve"> (Allen County)</w:t>
      </w:r>
    </w:p>
    <w:p w14:paraId="5EA9113E" w14:textId="584FEB70" w:rsidR="002B59A1" w:rsidRDefault="002B59A1" w:rsidP="002B59A1">
      <w:pPr>
        <w:pStyle w:val="ListParagraph"/>
        <w:numPr>
          <w:ilvl w:val="0"/>
          <w:numId w:val="2"/>
        </w:numPr>
        <w:rPr>
          <w:rFonts w:ascii="Helvetica Neue" w:eastAsia="Helvetica Neue" w:hAnsi="Helvetica Neue" w:cs="Helvetica Neue"/>
        </w:rPr>
      </w:pPr>
      <w:r w:rsidRPr="002B59A1">
        <w:rPr>
          <w:rFonts w:ascii="Helvetica Neue" w:eastAsia="Helvetica Neue" w:hAnsi="Helvetica Neue" w:cs="Helvetica Neue"/>
        </w:rPr>
        <w:t xml:space="preserve">Canton, OH </w:t>
      </w:r>
      <w:r>
        <w:rPr>
          <w:rFonts w:ascii="Helvetica Neue" w:eastAsia="Helvetica Neue" w:hAnsi="Helvetica Neue" w:cs="Helvetica Neue"/>
        </w:rPr>
        <w:t>(Stark County)</w:t>
      </w:r>
    </w:p>
    <w:p w14:paraId="1304DDB4" w14:textId="0B820226" w:rsidR="002B59A1" w:rsidRDefault="002B59A1" w:rsidP="002B59A1">
      <w:pPr>
        <w:pStyle w:val="ListParagraph"/>
        <w:numPr>
          <w:ilvl w:val="0"/>
          <w:numId w:val="2"/>
        </w:numPr>
        <w:rPr>
          <w:rFonts w:ascii="Helvetica Neue" w:eastAsia="Helvetica Neue" w:hAnsi="Helvetica Neue" w:cs="Helvetica Neue"/>
        </w:rPr>
      </w:pPr>
      <w:r w:rsidRPr="002B59A1">
        <w:rPr>
          <w:rFonts w:ascii="Helvetica Neue" w:eastAsia="Helvetica Neue" w:hAnsi="Helvetica Neue" w:cs="Helvetica Neue"/>
        </w:rPr>
        <w:t>Mentor, OH</w:t>
      </w:r>
      <w:r>
        <w:rPr>
          <w:rFonts w:ascii="Helvetica Neue" w:eastAsia="Helvetica Neue" w:hAnsi="Helvetica Neue" w:cs="Helvetica Neue"/>
        </w:rPr>
        <w:t xml:space="preserve"> (Lake County)</w:t>
      </w:r>
    </w:p>
    <w:p w14:paraId="47EB96DC" w14:textId="188EDB67" w:rsidR="002B59A1" w:rsidRDefault="002B59A1" w:rsidP="002B59A1">
      <w:pPr>
        <w:pStyle w:val="ListParagraph"/>
        <w:numPr>
          <w:ilvl w:val="0"/>
          <w:numId w:val="2"/>
        </w:numPr>
        <w:rPr>
          <w:rFonts w:ascii="Helvetica Neue" w:eastAsia="Helvetica Neue" w:hAnsi="Helvetica Neue" w:cs="Helvetica Neue"/>
        </w:rPr>
      </w:pPr>
      <w:r w:rsidRPr="002B59A1">
        <w:rPr>
          <w:rFonts w:ascii="Helvetica Neue" w:eastAsia="Helvetica Neue" w:hAnsi="Helvetica Neue" w:cs="Helvetica Neue"/>
        </w:rPr>
        <w:t>East Greenwich</w:t>
      </w:r>
      <w:r w:rsidR="00347492">
        <w:rPr>
          <w:rFonts w:ascii="Helvetica Neue" w:eastAsia="Helvetica Neue" w:hAnsi="Helvetica Neue" w:cs="Helvetica Neue"/>
        </w:rPr>
        <w:t xml:space="preserve"> / Warwick</w:t>
      </w:r>
      <w:r w:rsidRPr="002B59A1">
        <w:rPr>
          <w:rFonts w:ascii="Helvetica Neue" w:eastAsia="Helvetica Neue" w:hAnsi="Helvetica Neue" w:cs="Helvetica Neue"/>
        </w:rPr>
        <w:t>, RI</w:t>
      </w:r>
      <w:r w:rsidR="00347492">
        <w:rPr>
          <w:rFonts w:ascii="Helvetica Neue" w:eastAsia="Helvetica Neue" w:hAnsi="Helvetica Neue" w:cs="Helvetica Neue"/>
        </w:rPr>
        <w:t xml:space="preserve"> (Kent County)</w:t>
      </w:r>
    </w:p>
    <w:p w14:paraId="17B11BD5" w14:textId="2532F003" w:rsidR="002B59A1" w:rsidRDefault="002B59A1" w:rsidP="002B59A1">
      <w:pPr>
        <w:pStyle w:val="ListParagraph"/>
        <w:numPr>
          <w:ilvl w:val="0"/>
          <w:numId w:val="2"/>
        </w:numPr>
        <w:rPr>
          <w:rFonts w:ascii="Helvetica Neue" w:eastAsia="Helvetica Neue" w:hAnsi="Helvetica Neue" w:cs="Helvetica Neue"/>
        </w:rPr>
      </w:pPr>
      <w:r w:rsidRPr="002B59A1">
        <w:rPr>
          <w:rFonts w:ascii="Helvetica Neue" w:eastAsia="Helvetica Neue" w:hAnsi="Helvetica Neue" w:cs="Helvetica Neue"/>
        </w:rPr>
        <w:t>Waco, TX</w:t>
      </w:r>
      <w:r>
        <w:rPr>
          <w:rFonts w:ascii="Helvetica Neue" w:eastAsia="Helvetica Neue" w:hAnsi="Helvetica Neue" w:cs="Helvetica Neue"/>
        </w:rPr>
        <w:t xml:space="preserve"> </w:t>
      </w:r>
      <w:r w:rsidR="00347492">
        <w:rPr>
          <w:rFonts w:ascii="Helvetica Neue" w:eastAsia="Helvetica Neue" w:hAnsi="Helvetica Neue" w:cs="Helvetica Neue"/>
        </w:rPr>
        <w:t>(McLennan County)</w:t>
      </w:r>
    </w:p>
    <w:p w14:paraId="0000001B" w14:textId="0383A301" w:rsidR="002F45B6" w:rsidRPr="002B59A1" w:rsidRDefault="002B59A1" w:rsidP="002B59A1">
      <w:pPr>
        <w:pStyle w:val="ListParagraph"/>
        <w:numPr>
          <w:ilvl w:val="0"/>
          <w:numId w:val="2"/>
        </w:numPr>
        <w:rPr>
          <w:rFonts w:ascii="Helvetica Neue" w:eastAsia="Helvetica Neue" w:hAnsi="Helvetica Neue" w:cs="Helvetica Neue"/>
        </w:rPr>
      </w:pPr>
      <w:r w:rsidRPr="002B59A1">
        <w:rPr>
          <w:rFonts w:ascii="Helvetica Neue" w:eastAsia="Helvetica Neue" w:hAnsi="Helvetica Neue" w:cs="Helvetica Neue"/>
        </w:rPr>
        <w:t>Wisconsin Dells, WI</w:t>
      </w:r>
      <w:r w:rsidR="00347492">
        <w:rPr>
          <w:rFonts w:ascii="Helvetica Neue" w:eastAsia="Helvetica Neue" w:hAnsi="Helvetica Neue" w:cs="Helvetica Neue"/>
        </w:rPr>
        <w:t xml:space="preserve"> (Columbia County)</w:t>
      </w:r>
    </w:p>
    <w:sectPr w:rsidR="002F45B6" w:rsidRPr="002B59A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91D440A-881E-4113-8DF6-1A0E1178C4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2" w:fontKey="{69276807-CB5A-4E7E-BDCA-E74AEA6A9075}"/>
    <w:embedBold r:id="rId3" w:fontKey="{31FED593-371D-454B-9F60-DEFED8795F64}"/>
  </w:font>
  <w:font w:name="Calibri">
    <w:panose1 w:val="020F0502020204030204"/>
    <w:charset w:val="00"/>
    <w:family w:val="swiss"/>
    <w:pitch w:val="variable"/>
    <w:sig w:usb0="E4002EFF" w:usb1="C000247B" w:usb2="00000009" w:usb3="00000000" w:csb0="000001FF" w:csb1="00000000"/>
    <w:embedRegular r:id="rId4" w:fontKey="{9AD17089-2305-42E2-9DC0-D55ACF385571}"/>
  </w:font>
  <w:font w:name="Cambria">
    <w:panose1 w:val="02040503050406030204"/>
    <w:charset w:val="00"/>
    <w:family w:val="roman"/>
    <w:pitch w:val="variable"/>
    <w:sig w:usb0="E00006FF" w:usb1="420024FF" w:usb2="02000000" w:usb3="00000000" w:csb0="0000019F" w:csb1="00000000"/>
    <w:embedRegular r:id="rId5" w:fontKey="{F8C598C5-9688-46ED-ABD0-AB5082D042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740A1"/>
    <w:multiLevelType w:val="hybridMultilevel"/>
    <w:tmpl w:val="51FC8D72"/>
    <w:lvl w:ilvl="0" w:tplc="DF4E5EA2">
      <w:start w:val="1"/>
      <w:numFmt w:val="decimal"/>
      <w:lvlText w:val="%1."/>
      <w:lvlJc w:val="left"/>
      <w:pPr>
        <w:ind w:left="720" w:hanging="360"/>
      </w:pPr>
    </w:lvl>
    <w:lvl w:ilvl="1" w:tplc="F44214A4">
      <w:start w:val="1"/>
      <w:numFmt w:val="decimal"/>
      <w:lvlText w:val="%2."/>
      <w:lvlJc w:val="left"/>
      <w:pPr>
        <w:ind w:left="1440" w:hanging="1080"/>
      </w:pPr>
    </w:lvl>
    <w:lvl w:ilvl="2" w:tplc="45DC6146">
      <w:start w:val="1"/>
      <w:numFmt w:val="decimal"/>
      <w:lvlText w:val="%3."/>
      <w:lvlJc w:val="left"/>
      <w:pPr>
        <w:ind w:left="2160" w:hanging="1980"/>
      </w:pPr>
    </w:lvl>
    <w:lvl w:ilvl="3" w:tplc="4D5C1626">
      <w:start w:val="1"/>
      <w:numFmt w:val="decimal"/>
      <w:lvlText w:val="%4."/>
      <w:lvlJc w:val="left"/>
      <w:pPr>
        <w:ind w:left="2880" w:hanging="2520"/>
      </w:pPr>
    </w:lvl>
    <w:lvl w:ilvl="4" w:tplc="06229298">
      <w:start w:val="1"/>
      <w:numFmt w:val="decimal"/>
      <w:lvlText w:val="%5."/>
      <w:lvlJc w:val="left"/>
      <w:pPr>
        <w:ind w:left="3600" w:hanging="3240"/>
      </w:pPr>
    </w:lvl>
    <w:lvl w:ilvl="5" w:tplc="4B241310">
      <w:start w:val="1"/>
      <w:numFmt w:val="decimal"/>
      <w:lvlText w:val="%6."/>
      <w:lvlJc w:val="left"/>
      <w:pPr>
        <w:ind w:left="4320" w:hanging="4140"/>
      </w:pPr>
    </w:lvl>
    <w:lvl w:ilvl="6" w:tplc="9A866B90">
      <w:start w:val="1"/>
      <w:numFmt w:val="decimal"/>
      <w:lvlText w:val="%7."/>
      <w:lvlJc w:val="left"/>
      <w:pPr>
        <w:ind w:left="5040" w:hanging="4680"/>
      </w:pPr>
    </w:lvl>
    <w:lvl w:ilvl="7" w:tplc="E13A0B88">
      <w:start w:val="1"/>
      <w:numFmt w:val="decimal"/>
      <w:lvlText w:val="%8."/>
      <w:lvlJc w:val="left"/>
      <w:pPr>
        <w:ind w:left="5760" w:hanging="5400"/>
      </w:pPr>
    </w:lvl>
    <w:lvl w:ilvl="8" w:tplc="C888B7EE">
      <w:start w:val="1"/>
      <w:numFmt w:val="decimal"/>
      <w:lvlText w:val="%9."/>
      <w:lvlJc w:val="left"/>
      <w:pPr>
        <w:ind w:left="6480" w:hanging="6300"/>
      </w:pPr>
    </w:lvl>
  </w:abstractNum>
  <w:abstractNum w:abstractNumId="1" w15:restartNumberingAfterBreak="0">
    <w:nsid w:val="43BD7B4E"/>
    <w:multiLevelType w:val="hybridMultilevel"/>
    <w:tmpl w:val="842888AA"/>
    <w:lvl w:ilvl="0" w:tplc="2714B58A">
      <w:start w:val="1"/>
      <w:numFmt w:val="bullet"/>
      <w:lvlText w:val="●"/>
      <w:lvlJc w:val="left"/>
      <w:pPr>
        <w:ind w:left="720" w:hanging="360"/>
      </w:pPr>
      <w:rPr>
        <w:rFonts w:ascii="Noto Sans Symbols" w:eastAsia="Noto Sans Symbols" w:hAnsi="Noto Sans Symbols" w:cs="Noto Sans Symbols"/>
        <w:sz w:val="20"/>
        <w:szCs w:val="20"/>
      </w:rPr>
    </w:lvl>
    <w:lvl w:ilvl="1" w:tplc="0352A5E0">
      <w:start w:val="1"/>
      <w:numFmt w:val="bullet"/>
      <w:lvlText w:val="o"/>
      <w:lvlJc w:val="left"/>
      <w:pPr>
        <w:ind w:left="1440" w:hanging="360"/>
      </w:pPr>
      <w:rPr>
        <w:rFonts w:ascii="Courier New" w:eastAsia="Courier New" w:hAnsi="Courier New" w:cs="Courier New"/>
        <w:sz w:val="20"/>
        <w:szCs w:val="20"/>
      </w:rPr>
    </w:lvl>
    <w:lvl w:ilvl="2" w:tplc="178A5396">
      <w:start w:val="1"/>
      <w:numFmt w:val="bullet"/>
      <w:lvlText w:val="▪"/>
      <w:lvlJc w:val="left"/>
      <w:pPr>
        <w:ind w:left="2160" w:hanging="360"/>
      </w:pPr>
      <w:rPr>
        <w:rFonts w:ascii="Noto Sans Symbols" w:eastAsia="Noto Sans Symbols" w:hAnsi="Noto Sans Symbols" w:cs="Noto Sans Symbols"/>
        <w:sz w:val="20"/>
        <w:szCs w:val="20"/>
      </w:rPr>
    </w:lvl>
    <w:lvl w:ilvl="3" w:tplc="30E04B8C">
      <w:start w:val="1"/>
      <w:numFmt w:val="bullet"/>
      <w:lvlText w:val="▪"/>
      <w:lvlJc w:val="left"/>
      <w:pPr>
        <w:ind w:left="2880" w:hanging="360"/>
      </w:pPr>
      <w:rPr>
        <w:rFonts w:ascii="Noto Sans Symbols" w:eastAsia="Noto Sans Symbols" w:hAnsi="Noto Sans Symbols" w:cs="Noto Sans Symbols"/>
        <w:sz w:val="20"/>
        <w:szCs w:val="20"/>
      </w:rPr>
    </w:lvl>
    <w:lvl w:ilvl="4" w:tplc="954E6C60">
      <w:start w:val="1"/>
      <w:numFmt w:val="bullet"/>
      <w:lvlText w:val="▪"/>
      <w:lvlJc w:val="left"/>
      <w:pPr>
        <w:ind w:left="3600" w:hanging="360"/>
      </w:pPr>
      <w:rPr>
        <w:rFonts w:ascii="Noto Sans Symbols" w:eastAsia="Noto Sans Symbols" w:hAnsi="Noto Sans Symbols" w:cs="Noto Sans Symbols"/>
        <w:sz w:val="20"/>
        <w:szCs w:val="20"/>
      </w:rPr>
    </w:lvl>
    <w:lvl w:ilvl="5" w:tplc="15000BE4">
      <w:start w:val="1"/>
      <w:numFmt w:val="bullet"/>
      <w:lvlText w:val="▪"/>
      <w:lvlJc w:val="left"/>
      <w:pPr>
        <w:ind w:left="4320" w:hanging="360"/>
      </w:pPr>
      <w:rPr>
        <w:rFonts w:ascii="Noto Sans Symbols" w:eastAsia="Noto Sans Symbols" w:hAnsi="Noto Sans Symbols" w:cs="Noto Sans Symbols"/>
        <w:sz w:val="20"/>
        <w:szCs w:val="20"/>
      </w:rPr>
    </w:lvl>
    <w:lvl w:ilvl="6" w:tplc="7E223B6E">
      <w:start w:val="1"/>
      <w:numFmt w:val="bullet"/>
      <w:lvlText w:val="▪"/>
      <w:lvlJc w:val="left"/>
      <w:pPr>
        <w:ind w:left="5040" w:hanging="360"/>
      </w:pPr>
      <w:rPr>
        <w:rFonts w:ascii="Noto Sans Symbols" w:eastAsia="Noto Sans Symbols" w:hAnsi="Noto Sans Symbols" w:cs="Noto Sans Symbols"/>
        <w:sz w:val="20"/>
        <w:szCs w:val="20"/>
      </w:rPr>
    </w:lvl>
    <w:lvl w:ilvl="7" w:tplc="372AC912">
      <w:start w:val="1"/>
      <w:numFmt w:val="bullet"/>
      <w:lvlText w:val="▪"/>
      <w:lvlJc w:val="left"/>
      <w:pPr>
        <w:ind w:left="5760" w:hanging="360"/>
      </w:pPr>
      <w:rPr>
        <w:rFonts w:ascii="Noto Sans Symbols" w:eastAsia="Noto Sans Symbols" w:hAnsi="Noto Sans Symbols" w:cs="Noto Sans Symbols"/>
        <w:sz w:val="20"/>
        <w:szCs w:val="20"/>
      </w:rPr>
    </w:lvl>
    <w:lvl w:ilvl="8" w:tplc="3DEAB3E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EC9429F"/>
    <w:multiLevelType w:val="hybridMultilevel"/>
    <w:tmpl w:val="380A22FE"/>
    <w:lvl w:ilvl="0" w:tplc="448CFDE4">
      <w:start w:val="1"/>
      <w:numFmt w:val="bullet"/>
      <w:lvlText w:val="●"/>
      <w:lvlJc w:val="left"/>
      <w:pPr>
        <w:ind w:left="720" w:hanging="360"/>
      </w:pPr>
      <w:rPr>
        <w:u w:val="none"/>
      </w:rPr>
    </w:lvl>
    <w:lvl w:ilvl="1" w:tplc="A37A1ADE">
      <w:start w:val="1"/>
      <w:numFmt w:val="bullet"/>
      <w:lvlText w:val="○"/>
      <w:lvlJc w:val="left"/>
      <w:pPr>
        <w:ind w:left="1440" w:hanging="360"/>
      </w:pPr>
      <w:rPr>
        <w:u w:val="none"/>
      </w:rPr>
    </w:lvl>
    <w:lvl w:ilvl="2" w:tplc="110435EC">
      <w:start w:val="1"/>
      <w:numFmt w:val="bullet"/>
      <w:lvlText w:val="■"/>
      <w:lvlJc w:val="left"/>
      <w:pPr>
        <w:ind w:left="2160" w:hanging="360"/>
      </w:pPr>
      <w:rPr>
        <w:u w:val="none"/>
      </w:rPr>
    </w:lvl>
    <w:lvl w:ilvl="3" w:tplc="181EAF68">
      <w:start w:val="1"/>
      <w:numFmt w:val="bullet"/>
      <w:lvlText w:val="●"/>
      <w:lvlJc w:val="left"/>
      <w:pPr>
        <w:ind w:left="2880" w:hanging="360"/>
      </w:pPr>
      <w:rPr>
        <w:u w:val="none"/>
      </w:rPr>
    </w:lvl>
    <w:lvl w:ilvl="4" w:tplc="BCA6B270">
      <w:start w:val="1"/>
      <w:numFmt w:val="bullet"/>
      <w:lvlText w:val="○"/>
      <w:lvlJc w:val="left"/>
      <w:pPr>
        <w:ind w:left="3600" w:hanging="360"/>
      </w:pPr>
      <w:rPr>
        <w:u w:val="none"/>
      </w:rPr>
    </w:lvl>
    <w:lvl w:ilvl="5" w:tplc="1F0EE70E">
      <w:start w:val="1"/>
      <w:numFmt w:val="bullet"/>
      <w:lvlText w:val="■"/>
      <w:lvlJc w:val="left"/>
      <w:pPr>
        <w:ind w:left="4320" w:hanging="360"/>
      </w:pPr>
      <w:rPr>
        <w:u w:val="none"/>
      </w:rPr>
    </w:lvl>
    <w:lvl w:ilvl="6" w:tplc="AA4E2374">
      <w:start w:val="1"/>
      <w:numFmt w:val="bullet"/>
      <w:lvlText w:val="●"/>
      <w:lvlJc w:val="left"/>
      <w:pPr>
        <w:ind w:left="5040" w:hanging="360"/>
      </w:pPr>
      <w:rPr>
        <w:u w:val="none"/>
      </w:rPr>
    </w:lvl>
    <w:lvl w:ilvl="7" w:tplc="85E2CDA2">
      <w:start w:val="1"/>
      <w:numFmt w:val="bullet"/>
      <w:lvlText w:val="○"/>
      <w:lvlJc w:val="left"/>
      <w:pPr>
        <w:ind w:left="5760" w:hanging="360"/>
      </w:pPr>
      <w:rPr>
        <w:u w:val="none"/>
      </w:rPr>
    </w:lvl>
    <w:lvl w:ilvl="8" w:tplc="7E4CCC5C">
      <w:start w:val="1"/>
      <w:numFmt w:val="bullet"/>
      <w:lvlText w:val="■"/>
      <w:lvlJc w:val="left"/>
      <w:pPr>
        <w:ind w:left="6480" w:hanging="360"/>
      </w:pPr>
      <w:rPr>
        <w:u w:val="none"/>
      </w:rPr>
    </w:lvl>
  </w:abstractNum>
  <w:num w:numId="1" w16cid:durableId="52893149">
    <w:abstractNumId w:val="2"/>
  </w:num>
  <w:num w:numId="2" w16cid:durableId="1154298948">
    <w:abstractNumId w:val="1"/>
  </w:num>
  <w:num w:numId="3" w16cid:durableId="1587879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29B"/>
    <w:rsid w:val="0009529B"/>
    <w:rsid w:val="00146CB8"/>
    <w:rsid w:val="00190F1E"/>
    <w:rsid w:val="00217901"/>
    <w:rsid w:val="002B59A1"/>
    <w:rsid w:val="002F45B6"/>
    <w:rsid w:val="00306D47"/>
    <w:rsid w:val="003335F4"/>
    <w:rsid w:val="00347492"/>
    <w:rsid w:val="00931C4A"/>
    <w:rsid w:val="009E33DE"/>
    <w:rsid w:val="00DF6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53A66"/>
  <w15:docId w15:val="{CA89D742-694D-49F6-9E7E-46CC28209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paragraph" w:styleId="Header">
    <w:name w:val="header"/>
    <w:basedOn w:val="Normal"/>
    <w:link w:val="HeaderChar"/>
    <w:uiPriority w:val="99"/>
    <w:unhideWhenUsed/>
    <w:rsid w:val="00B232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24B"/>
  </w:style>
  <w:style w:type="paragraph" w:styleId="Footer">
    <w:name w:val="footer"/>
    <w:basedOn w:val="Normal"/>
    <w:link w:val="FooterChar"/>
    <w:uiPriority w:val="99"/>
    <w:unhideWhenUsed/>
    <w:rsid w:val="00B232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24B"/>
  </w:style>
  <w:style w:type="paragraph" w:styleId="ListParagraph">
    <w:name w:val="List Paragraph"/>
    <w:basedOn w:val="Normal"/>
    <w:uiPriority w:val="34"/>
    <w:qFormat/>
    <w:rsid w:val="002B59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708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ecfr.gov/current/title-41/subtitle-F/chapter-301/subchapter-B/part-301-11/subpart-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sa.gov/travel/plan-a-trip/per-diem-rates/factors-influencing-lodging-rates"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cDamlXuQ60ah/sby3VpPqutmw==">CgMxLjA4AHIhMTA4MkpHLWtWZUJoQ3E5d05pSkd4UTRjcmh4MTE2c21F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SarahASelenich</dc:creator>
  <cp:lastModifiedBy>SarahASelenich</cp:lastModifiedBy>
  <cp:revision>2</cp:revision>
  <dcterms:created xsi:type="dcterms:W3CDTF">2024-07-18T18:30:00Z</dcterms:created>
  <dcterms:modified xsi:type="dcterms:W3CDTF">2024-07-18T18:30:00Z</dcterms:modified>
</cp:coreProperties>
</file>