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FY 2024 Federal Real Property Profile Summary Data Set</w:t>
      </w:r>
    </w:p>
    <w:p w:rsidR="00000000" w:rsidDel="00000000" w:rsidP="00000000" w:rsidRDefault="00000000" w:rsidRPr="00000000" w14:paraId="00000002">
      <w:pPr>
        <w:spacing w:after="240" w:before="240" w:lineRule="auto"/>
        <w:jc w:val="center"/>
        <w:rPr>
          <w:b w:val="1"/>
          <w:sz w:val="26"/>
          <w:szCs w:val="26"/>
        </w:rPr>
      </w:pPr>
      <w:r w:rsidDel="00000000" w:rsidR="00000000" w:rsidRPr="00000000">
        <w:rPr>
          <w:b w:val="1"/>
          <w:sz w:val="28"/>
          <w:szCs w:val="28"/>
          <w:rtl w:val="0"/>
        </w:rPr>
        <w:t xml:space="preserve">Executive Summary</w:t>
      </w:r>
      <w:r w:rsidDel="00000000" w:rsidR="00000000" w:rsidRPr="00000000">
        <w:rPr>
          <w:rtl w:val="0"/>
        </w:rPr>
      </w:r>
    </w:p>
    <w:p w:rsidR="00000000" w:rsidDel="00000000" w:rsidP="00000000" w:rsidRDefault="00000000" w:rsidRPr="00000000" w14:paraId="00000003">
      <w:pPr>
        <w:spacing w:after="240" w:before="240" w:lineRule="auto"/>
        <w:rPr>
          <w:b w:val="1"/>
          <w:sz w:val="26"/>
          <w:szCs w:val="26"/>
        </w:rPr>
      </w:pPr>
      <w:r w:rsidDel="00000000" w:rsidR="00000000" w:rsidRPr="00000000">
        <w:rPr>
          <w:b w:val="1"/>
          <w:sz w:val="26"/>
          <w:szCs w:val="26"/>
          <w:rtl w:val="0"/>
        </w:rPr>
        <w:t xml:space="preserve">Background</w:t>
      </w:r>
    </w:p>
    <w:p w:rsidR="00000000" w:rsidDel="00000000" w:rsidP="00000000" w:rsidRDefault="00000000" w:rsidRPr="00000000" w14:paraId="00000004">
      <w:pPr>
        <w:spacing w:after="240" w:before="240" w:lineRule="auto"/>
        <w:rPr>
          <w:b w:val="1"/>
          <w:sz w:val="24"/>
          <w:szCs w:val="24"/>
        </w:rPr>
      </w:pPr>
      <w:r w:rsidDel="00000000" w:rsidR="00000000" w:rsidRPr="00000000">
        <w:rPr>
          <w:sz w:val="24"/>
          <w:szCs w:val="24"/>
          <w:rtl w:val="0"/>
        </w:rPr>
        <w:t xml:space="preserve">Executive Order (E.O.) 13327, Federal Real Property Asset Management (February 6, 2004), mandated the creation of a centralized real property database.  The requirement for the database was later enacted into law in the Federal Assets Sale and Transfer Act of 2016 (FASTA) (Pub. L. 114-287).  The General Services Administration (GSA) maintains the Federal Government’s database, known as the Federal Real Property Profile (FRPP) management system, of all real property under the custody or control of executive branch agencies, except for property excluded for reasons of national security.</w:t>
      </w:r>
      <w:r w:rsidDel="00000000" w:rsidR="00000000" w:rsidRPr="00000000">
        <w:rPr>
          <w:rtl w:val="0"/>
        </w:rPr>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FASTA requires that FRPP asset information, except for that data excluded by agencies for national security reasons or redacted under the Freedom of Information Act, be publicly accessible via the Web, in a </w:t>
      </w:r>
      <w:r w:rsidDel="00000000" w:rsidR="00000000" w:rsidRPr="00000000">
        <w:rPr>
          <w:color w:val="222222"/>
          <w:sz w:val="24"/>
          <w:szCs w:val="24"/>
          <w:highlight w:val="white"/>
          <w:rtl w:val="0"/>
        </w:rPr>
        <w:t xml:space="preserve">searchable, downloadable, and machine-readable format.  Once finalized, GSA publishes this FRPP data on its  website at</w:t>
      </w:r>
      <w:hyperlink r:id="rId7">
        <w:r w:rsidDel="00000000" w:rsidR="00000000" w:rsidRPr="00000000">
          <w:rPr>
            <w:color w:val="1155cc"/>
            <w:sz w:val="24"/>
            <w:szCs w:val="24"/>
            <w:rtl w:val="0"/>
          </w:rPr>
          <w:t xml:space="preserve"> </w:t>
        </w:r>
      </w:hyperlink>
      <w:hyperlink r:id="rId8">
        <w:r w:rsidDel="00000000" w:rsidR="00000000" w:rsidRPr="00000000">
          <w:rPr>
            <w:color w:val="1155cc"/>
            <w:sz w:val="24"/>
            <w:szCs w:val="24"/>
            <w:u w:val="single"/>
            <w:rtl w:val="0"/>
          </w:rPr>
          <w:t xml:space="preserve">publicFRPPdata.realpropertyprofile.gov</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GSA is now publishing the FRPP Summary Data Set (formerly called the Open Data Set) for FY 2024. The data set provides a high-level summary of the real property inventory of the Federal Government in the U.S. and U.S. territories at the end of FY 2024.  The FY 2024 FRPP Summary Data Set is accessible online at</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https://www.gsa.gov/policy-regulations/policy/real-property-policy-division-overview/data-collection-and-reports/frpp-summary-report-library</w:t>
        </w:r>
      </w:hyperlink>
      <w:r w:rsidDel="00000000" w:rsidR="00000000" w:rsidRPr="00000000">
        <w:rPr>
          <w:sz w:val="24"/>
          <w:szCs w:val="24"/>
          <w:rtl w:val="0"/>
        </w:rPr>
        <w:t xml:space="preserve">. </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Department of Defense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(DoD) data was not included in the FRPP Open Data Set in FY 2017 or FY 2018.  DoD made progress in addressing data quality concerns and is included in FY 2019 through FY 2024.  As a result, comparisons between FY 2019 through FY 2024 and previous years’ data are not recommended.</w:t>
      </w:r>
      <w:r w:rsidDel="00000000" w:rsidR="00000000" w:rsidRPr="00000000">
        <w:rPr>
          <w:rtl w:val="0"/>
        </w:rPr>
      </w:r>
    </w:p>
    <w:p w:rsidR="00000000" w:rsidDel="00000000" w:rsidP="00000000" w:rsidRDefault="00000000" w:rsidRPr="00000000" w14:paraId="00000008">
      <w:pPr>
        <w:spacing w:after="160" w:line="278.00000000000006" w:lineRule="auto"/>
        <w:rPr>
          <w:rFonts w:ascii="Aptos" w:cs="Aptos" w:eastAsia="Aptos" w:hAnsi="Aptos"/>
          <w:b w:val="1"/>
        </w:rPr>
      </w:pPr>
      <w:r w:rsidDel="00000000" w:rsidR="00000000" w:rsidRPr="00000000">
        <w:rPr>
          <w:b w:val="1"/>
          <w:sz w:val="26"/>
          <w:szCs w:val="26"/>
          <w:rtl w:val="0"/>
        </w:rPr>
        <w:t xml:space="preserve">Data Quality</w:t>
      </w:r>
      <w:r w:rsidDel="00000000" w:rsidR="00000000" w:rsidRPr="00000000">
        <w:rPr>
          <w:rtl w:val="0"/>
        </w:rPr>
      </w:r>
    </w:p>
    <w:p w:rsidR="00000000" w:rsidDel="00000000" w:rsidP="00000000" w:rsidRDefault="00000000" w:rsidRPr="00000000" w14:paraId="00000009">
      <w:pPr>
        <w:spacing w:after="160" w:line="278.00000000000006" w:lineRule="auto"/>
        <w:rPr>
          <w:sz w:val="24"/>
          <w:szCs w:val="24"/>
        </w:rPr>
      </w:pPr>
      <w:r w:rsidDel="00000000" w:rsidR="00000000" w:rsidRPr="00000000">
        <w:rPr>
          <w:sz w:val="24"/>
          <w:szCs w:val="24"/>
          <w:rtl w:val="0"/>
        </w:rPr>
        <w:t xml:space="preserve">GSA’s commitment to data quality is reflected in the Federal Real Property Council’s (FRPC) requirement for each agency to establish a robust real property data quality improvement program, and conduct a third-party review of data quality at least once every three years.  Agencies must demonstrate a 90% confidence rate for a core set of data elements (such as location, size, and legal interest), ensure accurate data validation and verification practices, and maintain a data quality program that includes corrective actions, third-party assessments, and documentation of lessons learned.</w:t>
      </w:r>
    </w:p>
    <w:p w:rsidR="00000000" w:rsidDel="00000000" w:rsidP="00000000" w:rsidRDefault="00000000" w:rsidRPr="00000000" w14:paraId="0000000A">
      <w:pPr>
        <w:spacing w:after="160" w:line="278.00000000000006" w:lineRule="auto"/>
        <w:rPr>
          <w:sz w:val="24"/>
          <w:szCs w:val="24"/>
        </w:rPr>
      </w:pPr>
      <w:r w:rsidDel="00000000" w:rsidR="00000000" w:rsidRPr="00000000">
        <w:rPr>
          <w:sz w:val="24"/>
          <w:szCs w:val="24"/>
          <w:rtl w:val="0"/>
        </w:rPr>
        <w:t xml:space="preserve">GSA has supported this effort by providing tools, guidance, and training to assist agencies in strengthening data governance, improving data validation processes, and ensuring that the FRPP remains a trusted source for decision-makers and the public alike.</w:t>
      </w:r>
    </w:p>
    <w:p w:rsidR="00000000" w:rsidDel="00000000" w:rsidP="00000000" w:rsidRDefault="00000000" w:rsidRPr="00000000" w14:paraId="0000000B">
      <w:pPr>
        <w:spacing w:after="200" w:lineRule="auto"/>
        <w:ind w:left="0" w:firstLine="0"/>
        <w:rPr>
          <w:sz w:val="24"/>
          <w:szCs w:val="24"/>
        </w:rPr>
      </w:pPr>
      <w:r w:rsidDel="00000000" w:rsidR="00000000" w:rsidRPr="00000000">
        <w:rPr>
          <w:sz w:val="24"/>
          <w:szCs w:val="24"/>
          <w:rtl w:val="0"/>
        </w:rPr>
        <w:t xml:space="preserve">GSA significantly strengthened its reporting requirements, which should drastically reduce the number of erroneous geographic data elements.  Specifically, starting with FY 2024, GSA reporting agencies must report a latitude and longitude coordinate point for building assets located in the United States.  This requirement eliminates the need for agencies to submit a street address, which is an open text data field that does not allow for as robust validation checks as the numeric latitude/longitude data field does. </w:t>
      </w:r>
    </w:p>
    <w:p w:rsidR="00000000" w:rsidDel="00000000" w:rsidP="00000000" w:rsidRDefault="00000000" w:rsidRPr="00000000" w14:paraId="0000000C">
      <w:pPr>
        <w:numPr>
          <w:ilvl w:val="0"/>
          <w:numId w:val="5"/>
        </w:numPr>
        <w:spacing w:after="200" w:lineRule="auto"/>
        <w:ind w:left="720" w:hanging="360"/>
      </w:pPr>
      <w:r w:rsidDel="00000000" w:rsidR="00000000" w:rsidRPr="00000000">
        <w:rPr>
          <w:sz w:val="24"/>
          <w:szCs w:val="24"/>
          <w:rtl w:val="0"/>
        </w:rPr>
        <w:t xml:space="preserve">As a result of these efforts, the percentage of mappable assets—a GSA strategic plan measure—increased to 99% in FY 2024 for Civilian Agencies and remains at 95% governmentwide when compared to FY 2023 data. </w:t>
      </w:r>
    </w:p>
    <w:p w:rsidR="00000000" w:rsidDel="00000000" w:rsidP="00000000" w:rsidRDefault="00000000" w:rsidRPr="00000000" w14:paraId="0000000D">
      <w:pPr>
        <w:numPr>
          <w:ilvl w:val="0"/>
          <w:numId w:val="5"/>
        </w:numPr>
        <w:spacing w:after="200" w:before="240" w:lineRule="auto"/>
        <w:ind w:left="720" w:hanging="360"/>
      </w:pPr>
      <w:r w:rsidDel="00000000" w:rsidR="00000000" w:rsidRPr="00000000">
        <w:rPr>
          <w:sz w:val="24"/>
          <w:szCs w:val="24"/>
          <w:rtl w:val="0"/>
        </w:rPr>
        <w:t xml:space="preserve">FY 2024 FRPP data reveals a 1.49% increase for accuracy for Civilian Agencies, but a slight decline for Non-Civilian Agencies.  Due to DoD's inventory size, the overall mappability of US-located FRPP assets declined by -1.10% between FY 2023 and FY 2024.  Primarily, the DoD decline is caused by the Army Corps - as their quality declined by 20%.  GSA discussed the matter with the Army Corps to correct their errors during the December 2025 data submission cycle. The rest of DoD is close to 100%.</w:t>
      </w:r>
      <w:r w:rsidDel="00000000" w:rsidR="00000000" w:rsidRPr="00000000">
        <w:rPr>
          <w:rtl w:val="0"/>
        </w:rPr>
      </w:r>
    </w:p>
    <w:p w:rsidR="00000000" w:rsidDel="00000000" w:rsidP="00000000" w:rsidRDefault="00000000" w:rsidRPr="00000000" w14:paraId="0000000E">
      <w:pPr>
        <w:spacing w:after="160" w:line="278.00000000000006" w:lineRule="auto"/>
        <w:rPr>
          <w:rFonts w:ascii="Aptos" w:cs="Aptos" w:eastAsia="Aptos" w:hAnsi="Aptos"/>
          <w:b w:val="1"/>
        </w:rPr>
      </w:pPr>
      <w:r w:rsidDel="00000000" w:rsidR="00000000" w:rsidRPr="00000000">
        <w:rPr>
          <w:b w:val="1"/>
          <w:sz w:val="26"/>
          <w:szCs w:val="26"/>
          <w:rtl w:val="0"/>
        </w:rPr>
        <w:t xml:space="preserve">Why We Publish</w:t>
      </w:r>
      <w:r w:rsidDel="00000000" w:rsidR="00000000" w:rsidRPr="00000000">
        <w:rPr>
          <w:rtl w:val="0"/>
        </w:rPr>
      </w:r>
    </w:p>
    <w:p w:rsidR="00000000" w:rsidDel="00000000" w:rsidP="00000000" w:rsidRDefault="00000000" w:rsidRPr="00000000" w14:paraId="0000000F">
      <w:pPr>
        <w:spacing w:after="160" w:line="278.00000000000006" w:lineRule="auto"/>
        <w:rPr>
          <w:sz w:val="24"/>
          <w:szCs w:val="24"/>
        </w:rPr>
      </w:pPr>
      <w:r w:rsidDel="00000000" w:rsidR="00000000" w:rsidRPr="00000000">
        <w:rPr>
          <w:sz w:val="24"/>
          <w:szCs w:val="24"/>
          <w:rtl w:val="0"/>
        </w:rPr>
        <w:t xml:space="preserve">The FRPP Summary Data Set empowers:</w:t>
      </w:r>
    </w:p>
    <w:p w:rsidR="00000000" w:rsidDel="00000000" w:rsidP="00000000" w:rsidRDefault="00000000" w:rsidRPr="00000000" w14:paraId="00000010">
      <w:pPr>
        <w:numPr>
          <w:ilvl w:val="0"/>
          <w:numId w:val="3"/>
        </w:numPr>
        <w:spacing w:after="0" w:afterAutospacing="0" w:line="278.00000000000006" w:lineRule="auto"/>
        <w:ind w:left="720" w:hanging="360"/>
        <w:rPr>
          <w:sz w:val="24"/>
          <w:szCs w:val="24"/>
          <w:u w:val="none"/>
        </w:rPr>
      </w:pPr>
      <w:r w:rsidDel="00000000" w:rsidR="00000000" w:rsidRPr="00000000">
        <w:rPr>
          <w:sz w:val="24"/>
          <w:szCs w:val="24"/>
          <w:rtl w:val="0"/>
        </w:rPr>
        <w:t xml:space="preserve">Transparency—Providing the American public, Congress, and stakeholders with a clear view of federal property holdings</w:t>
      </w:r>
    </w:p>
    <w:p w:rsidR="00000000" w:rsidDel="00000000" w:rsidP="00000000" w:rsidRDefault="00000000" w:rsidRPr="00000000" w14:paraId="00000011">
      <w:pPr>
        <w:numPr>
          <w:ilvl w:val="0"/>
          <w:numId w:val="3"/>
        </w:numPr>
        <w:spacing w:after="0" w:afterAutospacing="0" w:line="278.00000000000006" w:lineRule="auto"/>
        <w:ind w:left="720" w:hanging="360"/>
        <w:rPr>
          <w:sz w:val="24"/>
          <w:szCs w:val="24"/>
          <w:u w:val="none"/>
        </w:rPr>
      </w:pPr>
      <w:r w:rsidDel="00000000" w:rsidR="00000000" w:rsidRPr="00000000">
        <w:rPr>
          <w:sz w:val="24"/>
          <w:szCs w:val="24"/>
          <w:rtl w:val="0"/>
        </w:rPr>
        <w:t xml:space="preserve">Accountability—Enabling data-driven policy, budget, and real estate decisions across government</w:t>
      </w:r>
    </w:p>
    <w:p w:rsidR="00000000" w:rsidDel="00000000" w:rsidP="00000000" w:rsidRDefault="00000000" w:rsidRPr="00000000" w14:paraId="00000012">
      <w:pPr>
        <w:numPr>
          <w:ilvl w:val="0"/>
          <w:numId w:val="3"/>
        </w:numPr>
        <w:spacing w:after="160" w:line="278.00000000000006" w:lineRule="auto"/>
        <w:ind w:left="720" w:hanging="360"/>
        <w:rPr>
          <w:sz w:val="24"/>
          <w:szCs w:val="24"/>
          <w:u w:val="none"/>
        </w:rPr>
      </w:pPr>
      <w:r w:rsidDel="00000000" w:rsidR="00000000" w:rsidRPr="00000000">
        <w:rPr>
          <w:sz w:val="24"/>
          <w:szCs w:val="24"/>
          <w:rtl w:val="0"/>
        </w:rPr>
        <w:t xml:space="preserve">Efficiency—Identifying opportunities for cost savings, asset optimization, and disposals that deliver taxpayer value</w:t>
      </w:r>
      <w:r w:rsidDel="00000000" w:rsidR="00000000" w:rsidRPr="00000000">
        <w:rPr>
          <w:rtl w:val="0"/>
        </w:rPr>
      </w:r>
    </w:p>
    <w:p w:rsidR="00000000" w:rsidDel="00000000" w:rsidP="00000000" w:rsidRDefault="00000000" w:rsidRPr="00000000" w14:paraId="00000013">
      <w:pPr>
        <w:spacing w:after="240" w:before="240" w:lineRule="auto"/>
        <w:rPr>
          <w:b w:val="1"/>
          <w:sz w:val="26"/>
          <w:szCs w:val="26"/>
        </w:rPr>
      </w:pPr>
      <w:r w:rsidDel="00000000" w:rsidR="00000000" w:rsidRPr="00000000">
        <w:rPr>
          <w:b w:val="1"/>
          <w:sz w:val="26"/>
          <w:szCs w:val="26"/>
          <w:rtl w:val="0"/>
        </w:rPr>
        <w:t xml:space="preserve">Key Statistics</w:t>
      </w:r>
    </w:p>
    <w:p w:rsidR="00000000" w:rsidDel="00000000" w:rsidP="00000000" w:rsidRDefault="00000000" w:rsidRPr="00000000" w14:paraId="00000014">
      <w:pPr>
        <w:spacing w:after="240" w:before="240" w:line="240" w:lineRule="auto"/>
        <w:rPr>
          <w:sz w:val="24"/>
          <w:szCs w:val="24"/>
        </w:rPr>
      </w:pPr>
      <w:r w:rsidDel="00000000" w:rsidR="00000000" w:rsidRPr="00000000">
        <w:rPr>
          <w:sz w:val="24"/>
          <w:szCs w:val="24"/>
          <w:rtl w:val="0"/>
        </w:rPr>
        <w:t xml:space="preserve">In FY 2024, Chief Financial Officers (CFO) Act agencies had the following totals:</w:t>
      </w:r>
    </w:p>
    <w:p w:rsidR="00000000" w:rsidDel="00000000" w:rsidP="00000000" w:rsidRDefault="00000000" w:rsidRPr="00000000" w14:paraId="00000015">
      <w:pPr>
        <w:numPr>
          <w:ilvl w:val="0"/>
          <w:numId w:val="4"/>
        </w:numPr>
        <w:spacing w:after="0" w:afterAutospacing="0" w:before="240" w:line="276" w:lineRule="auto"/>
        <w:ind w:left="720" w:hanging="360"/>
        <w:rPr>
          <w:sz w:val="24"/>
          <w:szCs w:val="24"/>
          <w:u w:val="none"/>
        </w:rPr>
      </w:pPr>
      <w:r w:rsidDel="00000000" w:rsidR="00000000" w:rsidRPr="00000000">
        <w:rPr>
          <w:sz w:val="24"/>
          <w:szCs w:val="24"/>
          <w:rtl w:val="0"/>
        </w:rPr>
        <w:t xml:space="preserve">281,148 buildings</w:t>
      </w:r>
    </w:p>
    <w:p w:rsidR="00000000" w:rsidDel="00000000" w:rsidP="00000000" w:rsidRDefault="00000000" w:rsidRPr="00000000" w14:paraId="00000016">
      <w:pPr>
        <w:numPr>
          <w:ilvl w:val="0"/>
          <w:numId w:val="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2.8 billion square feet of buildings</w:t>
      </w:r>
    </w:p>
    <w:p w:rsidR="00000000" w:rsidDel="00000000" w:rsidP="00000000" w:rsidRDefault="00000000" w:rsidRPr="00000000" w14:paraId="00000017">
      <w:pPr>
        <w:numPr>
          <w:ilvl w:val="0"/>
          <w:numId w:val="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600,460 structures</w:t>
      </w:r>
    </w:p>
    <w:p w:rsidR="00000000" w:rsidDel="00000000" w:rsidP="00000000" w:rsidRDefault="00000000" w:rsidRPr="00000000" w14:paraId="00000018">
      <w:pPr>
        <w:numPr>
          <w:ilvl w:val="0"/>
          <w:numId w:val="4"/>
        </w:numPr>
        <w:spacing w:after="240" w:before="0" w:beforeAutospacing="0" w:line="276" w:lineRule="auto"/>
        <w:ind w:left="720" w:hanging="360"/>
        <w:rPr>
          <w:sz w:val="24"/>
          <w:szCs w:val="24"/>
          <w:u w:val="none"/>
        </w:rPr>
      </w:pPr>
      <w:r w:rsidDel="00000000" w:rsidR="00000000" w:rsidRPr="00000000">
        <w:rPr>
          <w:sz w:val="24"/>
          <w:szCs w:val="24"/>
          <w:rtl w:val="0"/>
        </w:rPr>
        <w:t xml:space="preserve">27.3 million acres of land </w:t>
      </w:r>
    </w:p>
    <w:tbl>
      <w:tblPr>
        <w:tblStyle w:val="Table1"/>
        <w:tblW w:w="11520.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220"/>
        <w:gridCol w:w="1770"/>
        <w:gridCol w:w="1755"/>
        <w:gridCol w:w="1770"/>
        <w:gridCol w:w="1785"/>
        <w:tblGridChange w:id="0">
          <w:tblGrid>
            <w:gridCol w:w="2220"/>
            <w:gridCol w:w="2220"/>
            <w:gridCol w:w="1770"/>
            <w:gridCol w:w="1755"/>
            <w:gridCol w:w="1770"/>
            <w:gridCol w:w="1785"/>
          </w:tblGrid>
        </w:tblGridChange>
      </w:tblGrid>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ind w:left="-300" w:firstLine="0"/>
              <w:jc w:val="center"/>
              <w:rPr>
                <w:b w:val="1"/>
                <w:sz w:val="20"/>
                <w:szCs w:val="20"/>
              </w:rPr>
            </w:pPr>
            <w:r w:rsidDel="00000000" w:rsidR="00000000" w:rsidRPr="00000000">
              <w:rPr>
                <w:b w:val="1"/>
                <w:sz w:val="20"/>
                <w:szCs w:val="20"/>
                <w:rtl w:val="0"/>
              </w:rPr>
              <w:t xml:space="preserve">Real Property Type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ind w:left="-300" w:firstLine="0"/>
              <w:jc w:val="center"/>
              <w:rPr>
                <w:b w:val="1"/>
                <w:sz w:val="20"/>
                <w:szCs w:val="20"/>
              </w:rPr>
            </w:pPr>
            <w:r w:rsidDel="00000000" w:rsidR="00000000" w:rsidRPr="00000000">
              <w:rPr>
                <w:b w:val="1"/>
                <w:sz w:val="20"/>
                <w:szCs w:val="20"/>
                <w:rtl w:val="0"/>
              </w:rPr>
              <w:t xml:space="preserve"> Legal Interest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ind w:left="-300" w:firstLine="0"/>
              <w:jc w:val="center"/>
              <w:rPr>
                <w:b w:val="1"/>
                <w:sz w:val="20"/>
                <w:szCs w:val="20"/>
              </w:rPr>
            </w:pPr>
            <w:r w:rsidDel="00000000" w:rsidR="00000000" w:rsidRPr="00000000">
              <w:rPr>
                <w:b w:val="1"/>
                <w:sz w:val="20"/>
                <w:szCs w:val="20"/>
                <w:rtl w:val="0"/>
              </w:rPr>
              <w:t xml:space="preserve"> Owned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ind w:left="-300" w:firstLine="0"/>
              <w:jc w:val="center"/>
              <w:rPr>
                <w:b w:val="1"/>
                <w:sz w:val="20"/>
                <w:szCs w:val="20"/>
              </w:rPr>
            </w:pPr>
            <w:r w:rsidDel="00000000" w:rsidR="00000000" w:rsidRPr="00000000">
              <w:rPr>
                <w:b w:val="1"/>
                <w:sz w:val="20"/>
                <w:szCs w:val="20"/>
                <w:rtl w:val="0"/>
              </w:rPr>
              <w:t xml:space="preserve">Leased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ind w:left="-300" w:firstLine="0"/>
              <w:jc w:val="center"/>
              <w:rPr>
                <w:b w:val="1"/>
                <w:sz w:val="20"/>
                <w:szCs w:val="20"/>
              </w:rPr>
            </w:pPr>
            <w:r w:rsidDel="00000000" w:rsidR="00000000" w:rsidRPr="00000000">
              <w:rPr>
                <w:b w:val="1"/>
                <w:sz w:val="20"/>
                <w:szCs w:val="20"/>
                <w:rtl w:val="0"/>
              </w:rPr>
              <w:t xml:space="preserve">Otherwise Managed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ind w:left="-300" w:firstLine="0"/>
              <w:jc w:val="center"/>
              <w:rPr>
                <w:b w:val="1"/>
                <w:sz w:val="20"/>
                <w:szCs w:val="20"/>
              </w:rPr>
            </w:pPr>
            <w:r w:rsidDel="00000000" w:rsidR="00000000" w:rsidRPr="00000000">
              <w:rPr>
                <w:b w:val="1"/>
                <w:sz w:val="20"/>
                <w:szCs w:val="20"/>
                <w:rtl w:val="0"/>
              </w:rPr>
              <w:t xml:space="preserve">Total</w:t>
            </w:r>
          </w:p>
        </w:tc>
      </w:tr>
      <w:tr>
        <w:trPr>
          <w:cantSplit w:val="0"/>
          <w:trHeight w:val="49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ind w:left="-300" w:firstLine="0"/>
              <w:jc w:val="center"/>
              <w:rPr>
                <w:b w:val="1"/>
                <w:sz w:val="20"/>
                <w:szCs w:val="20"/>
              </w:rPr>
            </w:pPr>
            <w:r w:rsidDel="00000000" w:rsidR="00000000" w:rsidRPr="00000000">
              <w:rPr>
                <w:b w:val="1"/>
                <w:sz w:val="20"/>
                <w:szCs w:val="20"/>
                <w:rtl w:val="0"/>
              </w:rPr>
              <w:t xml:space="preserve">Buildings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ind w:left="-300" w:firstLine="0"/>
              <w:jc w:val="center"/>
              <w:rPr>
                <w:b w:val="1"/>
                <w:sz w:val="20"/>
                <w:szCs w:val="20"/>
              </w:rPr>
            </w:pPr>
            <w:r w:rsidDel="00000000" w:rsidR="00000000" w:rsidRPr="00000000">
              <w:rPr>
                <w:b w:val="1"/>
                <w:sz w:val="20"/>
                <w:szCs w:val="20"/>
                <w:rtl w:val="0"/>
              </w:rPr>
              <w:t xml:space="preserve">Total Number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246,925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18,850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15,373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281,148</w:t>
            </w:r>
          </w:p>
        </w:tc>
      </w:tr>
      <w:tr>
        <w:trPr>
          <w:cantSplit w:val="0"/>
          <w:trHeight w:val="49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ind w:left="-30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ind w:left="-300" w:firstLine="0"/>
              <w:jc w:val="center"/>
              <w:rPr>
                <w:b w:val="1"/>
                <w:sz w:val="20"/>
                <w:szCs w:val="20"/>
              </w:rPr>
            </w:pPr>
            <w:r w:rsidDel="00000000" w:rsidR="00000000" w:rsidRPr="00000000">
              <w:rPr>
                <w:b w:val="1"/>
                <w:sz w:val="20"/>
                <w:szCs w:val="20"/>
                <w:rtl w:val="0"/>
              </w:rPr>
              <w:t xml:space="preserve">Total Square Feet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2,433,405,745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278,917,266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125,190,498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2,837,513,509</w:t>
            </w:r>
          </w:p>
        </w:tc>
      </w:tr>
      <w:tr>
        <w:trPr>
          <w:cantSplit w:val="0"/>
          <w:trHeight w:val="85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ind w:left="-30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ind w:left="-300" w:firstLine="0"/>
              <w:jc w:val="center"/>
              <w:rPr>
                <w:b w:val="1"/>
                <w:sz w:val="34"/>
                <w:szCs w:val="34"/>
                <w:vertAlign w:val="superscript"/>
              </w:rPr>
            </w:pPr>
            <w:r w:rsidDel="00000000" w:rsidR="00000000" w:rsidRPr="00000000">
              <w:rPr>
                <w:b w:val="1"/>
                <w:sz w:val="20"/>
                <w:szCs w:val="20"/>
                <w:rtl w:val="0"/>
              </w:rPr>
              <w:t xml:space="preserve">Total Annual Costs</w:t>
            </w:r>
            <w:r w:rsidDel="00000000" w:rsidR="00000000" w:rsidRPr="00000000">
              <w:rPr>
                <w:b w:val="1"/>
                <w:sz w:val="20"/>
                <w:szCs w:val="20"/>
                <w:vertAlign w:val="superscript"/>
              </w:rPr>
              <w:footnoteReference w:customMarkFollows="0" w:id="1"/>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$17,314,384,361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$8,431,025,992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$687,756,637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$26,433,166,990</w:t>
            </w:r>
          </w:p>
        </w:tc>
      </w:tr>
      <w:tr>
        <w:trPr>
          <w:cantSplit w:val="0"/>
          <w:trHeight w:val="49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ind w:left="-300" w:firstLine="0"/>
              <w:jc w:val="center"/>
              <w:rPr>
                <w:b w:val="1"/>
                <w:sz w:val="20"/>
                <w:szCs w:val="20"/>
              </w:rPr>
            </w:pPr>
            <w:r w:rsidDel="00000000" w:rsidR="00000000" w:rsidRPr="00000000">
              <w:rPr>
                <w:b w:val="1"/>
                <w:sz w:val="20"/>
                <w:szCs w:val="20"/>
                <w:rtl w:val="0"/>
              </w:rPr>
              <w:t xml:space="preserve">Structures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ind w:left="-300" w:firstLine="0"/>
              <w:jc w:val="center"/>
              <w:rPr>
                <w:b w:val="1"/>
                <w:sz w:val="20"/>
                <w:szCs w:val="20"/>
              </w:rPr>
            </w:pPr>
            <w:r w:rsidDel="00000000" w:rsidR="00000000" w:rsidRPr="00000000">
              <w:rPr>
                <w:b w:val="1"/>
                <w:sz w:val="20"/>
                <w:szCs w:val="20"/>
                <w:rtl w:val="0"/>
              </w:rPr>
              <w:t xml:space="preserve">Total Number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503,182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3,166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94,112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600,460</w:t>
            </w:r>
          </w:p>
        </w:tc>
      </w:tr>
      <w:tr>
        <w:trPr>
          <w:cantSplit w:val="0"/>
          <w:trHeight w:val="69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ind w:left="-30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ind w:left="-300" w:firstLine="0"/>
              <w:jc w:val="center"/>
              <w:rPr>
                <w:b w:val="1"/>
                <w:sz w:val="20"/>
                <w:szCs w:val="20"/>
              </w:rPr>
            </w:pPr>
            <w:r w:rsidDel="00000000" w:rsidR="00000000" w:rsidRPr="00000000">
              <w:rPr>
                <w:b w:val="1"/>
                <w:sz w:val="20"/>
                <w:szCs w:val="20"/>
                <w:rtl w:val="0"/>
              </w:rPr>
              <w:t xml:space="preserve">Total Annual Costs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$142,271,162,529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$100,590,188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$327,291,860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$142,699,044,577</w:t>
            </w:r>
            <w:r w:rsidDel="00000000" w:rsidR="00000000" w:rsidRPr="00000000">
              <w:rPr>
                <w:rtl w:val="0"/>
              </w:rPr>
            </w:r>
          </w:p>
        </w:tc>
      </w:tr>
      <w:tr>
        <w:trPr>
          <w:cantSplit w:val="0"/>
          <w:trHeight w:val="49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ind w:left="-300" w:firstLine="0"/>
              <w:jc w:val="center"/>
              <w:rPr>
                <w:b w:val="1"/>
                <w:sz w:val="20"/>
                <w:szCs w:val="20"/>
              </w:rPr>
            </w:pPr>
            <w:r w:rsidDel="00000000" w:rsidR="00000000" w:rsidRPr="00000000">
              <w:rPr>
                <w:b w:val="1"/>
                <w:sz w:val="20"/>
                <w:szCs w:val="20"/>
                <w:rtl w:val="0"/>
              </w:rPr>
              <w:t xml:space="preserve">Land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ind w:left="-300" w:firstLine="0"/>
              <w:jc w:val="center"/>
              <w:rPr>
                <w:b w:val="1"/>
                <w:sz w:val="20"/>
                <w:szCs w:val="20"/>
              </w:rPr>
            </w:pPr>
            <w:r w:rsidDel="00000000" w:rsidR="00000000" w:rsidRPr="00000000">
              <w:rPr>
                <w:b w:val="1"/>
                <w:sz w:val="20"/>
                <w:szCs w:val="20"/>
                <w:rtl w:val="0"/>
              </w:rPr>
              <w:t xml:space="preserve">Total Acres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19,431,069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1,653,654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6,249,888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27,334,612</w:t>
            </w:r>
          </w:p>
        </w:tc>
      </w:tr>
      <w:tr>
        <w:trPr>
          <w:cantSplit w:val="0"/>
          <w:trHeight w:val="69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ind w:left="-30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ind w:left="-300" w:firstLine="0"/>
              <w:jc w:val="center"/>
              <w:rPr>
                <w:b w:val="1"/>
                <w:sz w:val="20"/>
                <w:szCs w:val="20"/>
              </w:rPr>
            </w:pPr>
            <w:r w:rsidDel="00000000" w:rsidR="00000000" w:rsidRPr="00000000">
              <w:rPr>
                <w:b w:val="1"/>
                <w:sz w:val="20"/>
                <w:szCs w:val="20"/>
                <w:rtl w:val="0"/>
              </w:rPr>
              <w:t xml:space="preserve">Total Annual Costs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$163,077,016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$51,483,512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$242,238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ind w:left="-300" w:firstLine="0"/>
              <w:jc w:val="right"/>
              <w:rPr>
                <w:rFonts w:ascii="Calibri" w:cs="Calibri" w:eastAsia="Calibri" w:hAnsi="Calibri"/>
              </w:rPr>
            </w:pPr>
            <w:r w:rsidDel="00000000" w:rsidR="00000000" w:rsidRPr="00000000">
              <w:rPr>
                <w:rFonts w:ascii="Calibri" w:cs="Calibri" w:eastAsia="Calibri" w:hAnsi="Calibri"/>
                <w:rtl w:val="0"/>
              </w:rPr>
              <w:t xml:space="preserve">$214,802,766</w:t>
            </w:r>
          </w:p>
        </w:tc>
      </w:tr>
    </w:tbl>
    <w:p w:rsidR="00000000" w:rsidDel="00000000" w:rsidP="00000000" w:rsidRDefault="00000000" w:rsidRPr="00000000" w14:paraId="00000049">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4A">
      <w:pPr>
        <w:spacing w:after="240" w:before="240" w:lineRule="auto"/>
        <w:rPr>
          <w:b w:val="1"/>
          <w:sz w:val="26"/>
          <w:szCs w:val="26"/>
        </w:rPr>
      </w:pPr>
      <w:r w:rsidDel="00000000" w:rsidR="00000000" w:rsidRPr="00000000">
        <w:rPr>
          <w:b w:val="1"/>
          <w:sz w:val="26"/>
          <w:szCs w:val="26"/>
          <w:rtl w:val="0"/>
        </w:rPr>
        <w:t xml:space="preserve">FY 2023 - 2024 Comparison for CFO Act Agencies (includes DoD data)</w:t>
      </w:r>
    </w:p>
    <w:p w:rsidR="00000000" w:rsidDel="00000000" w:rsidP="00000000" w:rsidRDefault="00000000" w:rsidRPr="00000000" w14:paraId="0000004B">
      <w:pPr>
        <w:numPr>
          <w:ilvl w:val="0"/>
          <w:numId w:val="2"/>
        </w:numPr>
        <w:spacing w:after="0" w:afterAutospacing="0" w:before="240" w:line="276" w:lineRule="auto"/>
        <w:ind w:left="720" w:hanging="360"/>
        <w:rPr>
          <w:sz w:val="24"/>
          <w:szCs w:val="24"/>
          <w:u w:val="none"/>
        </w:rPr>
      </w:pPr>
      <w:r w:rsidDel="00000000" w:rsidR="00000000" w:rsidRPr="00000000">
        <w:rPr>
          <w:sz w:val="24"/>
          <w:szCs w:val="24"/>
          <w:rtl w:val="0"/>
        </w:rPr>
        <w:t xml:space="preserve">The total number of buildings increased by 1.3%</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The total building square footage increased by 0.9%</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sz w:val="24"/>
          <w:szCs w:val="24"/>
          <w:u w:val="none"/>
        </w:rPr>
      </w:pPr>
      <w:r w:rsidDel="00000000" w:rsidR="00000000" w:rsidRPr="00000000">
        <w:rPr>
          <w:sz w:val="24"/>
          <w:szCs w:val="24"/>
          <w:rtl w:val="0"/>
        </w:rPr>
        <w:t xml:space="preserve">Office square footage increased by 0.4%</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sz w:val="24"/>
          <w:szCs w:val="24"/>
          <w:u w:val="none"/>
        </w:rPr>
      </w:pPr>
      <w:r w:rsidDel="00000000" w:rsidR="00000000" w:rsidRPr="00000000">
        <w:rPr>
          <w:sz w:val="24"/>
          <w:szCs w:val="24"/>
          <w:rtl w:val="0"/>
        </w:rPr>
        <w:t xml:space="preserve">Warehouse square footage increased by 2.1%</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The total number of structures increased by 2.9%</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The total acres of land decreased by 1%</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u w:val="none"/>
        </w:rPr>
      </w:pPr>
      <w:r w:rsidDel="00000000" w:rsidR="00000000" w:rsidRPr="00000000">
        <w:rPr>
          <w:sz w:val="24"/>
          <w:szCs w:val="24"/>
          <w:rtl w:val="0"/>
        </w:rPr>
        <w:t xml:space="preserve">The total costs for buildings, structures and land in</w:t>
      </w:r>
      <w:r w:rsidDel="00000000" w:rsidR="00000000" w:rsidRPr="00000000">
        <w:rPr>
          <w:sz w:val="24"/>
          <w:szCs w:val="24"/>
          <w:rtl w:val="0"/>
        </w:rPr>
        <w:t xml:space="preserve">creased by 2%</w:t>
      </w:r>
      <w:r w:rsidDel="00000000" w:rsidR="00000000" w:rsidRPr="00000000">
        <w:rPr>
          <w:rtl w:val="0"/>
        </w:rPr>
      </w:r>
    </w:p>
    <w:p w:rsidR="00000000" w:rsidDel="00000000" w:rsidP="00000000" w:rsidRDefault="00000000" w:rsidRPr="00000000" w14:paraId="00000052">
      <w:pPr>
        <w:spacing w:after="240" w:before="240" w:lineRule="auto"/>
        <w:rPr>
          <w:b w:val="1"/>
          <w:sz w:val="26"/>
          <w:szCs w:val="26"/>
        </w:rPr>
      </w:pPr>
      <w:r w:rsidDel="00000000" w:rsidR="00000000" w:rsidRPr="00000000">
        <w:rPr>
          <w:b w:val="1"/>
          <w:sz w:val="26"/>
          <w:szCs w:val="26"/>
          <w:rtl w:val="0"/>
        </w:rPr>
        <w:t xml:space="preserve">Disposals in FY 2024</w:t>
      </w:r>
    </w:p>
    <w:p w:rsidR="00000000" w:rsidDel="00000000" w:rsidP="00000000" w:rsidRDefault="00000000" w:rsidRPr="00000000" w14:paraId="00000053">
      <w:pPr>
        <w:numPr>
          <w:ilvl w:val="0"/>
          <w:numId w:val="1"/>
        </w:numPr>
        <w:spacing w:after="0" w:afterAutospacing="0" w:before="240" w:lineRule="auto"/>
        <w:ind w:left="720" w:hanging="360"/>
        <w:rPr>
          <w:color w:val="222222"/>
          <w:sz w:val="24"/>
          <w:szCs w:val="24"/>
          <w:u w:val="none"/>
        </w:rPr>
      </w:pPr>
      <w:r w:rsidDel="00000000" w:rsidR="00000000" w:rsidRPr="00000000">
        <w:rPr>
          <w:color w:val="222222"/>
          <w:sz w:val="24"/>
          <w:szCs w:val="24"/>
          <w:highlight w:val="white"/>
          <w:rtl w:val="0"/>
        </w:rPr>
        <w:t xml:space="preserve">Civilian CFO Act agencies disposed of </w:t>
      </w:r>
      <w:r w:rsidDel="00000000" w:rsidR="00000000" w:rsidRPr="00000000">
        <w:rPr>
          <w:color w:val="222222"/>
          <w:sz w:val="24"/>
          <w:szCs w:val="24"/>
          <w:rtl w:val="0"/>
        </w:rPr>
        <w:t xml:space="preserve">894</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owned and otherwise managed buildings; DoD disposed of 348 owned and otherwise managed buildings, resulting in:</w:t>
      </w:r>
    </w:p>
    <w:p w:rsidR="00000000" w:rsidDel="00000000" w:rsidP="00000000" w:rsidRDefault="00000000" w:rsidRPr="00000000" w14:paraId="00000054">
      <w:pPr>
        <w:numPr>
          <w:ilvl w:val="1"/>
          <w:numId w:val="1"/>
        </w:numPr>
        <w:spacing w:after="0" w:afterAutospacing="0" w:before="0" w:beforeAutospacing="0" w:lineRule="auto"/>
        <w:ind w:left="1440" w:hanging="360"/>
        <w:rPr>
          <w:color w:val="222222"/>
          <w:sz w:val="24"/>
          <w:szCs w:val="24"/>
          <w:u w:val="none"/>
        </w:rPr>
      </w:pPr>
      <w:r w:rsidDel="00000000" w:rsidR="00000000" w:rsidRPr="00000000">
        <w:rPr>
          <w:color w:val="222222"/>
          <w:sz w:val="24"/>
          <w:szCs w:val="24"/>
          <w:highlight w:val="white"/>
          <w:rtl w:val="0"/>
        </w:rPr>
        <w:t xml:space="preserve">$</w:t>
      </w:r>
      <w:r w:rsidDel="00000000" w:rsidR="00000000" w:rsidRPr="00000000">
        <w:rPr>
          <w:color w:val="222222"/>
          <w:sz w:val="24"/>
          <w:szCs w:val="24"/>
          <w:rtl w:val="0"/>
        </w:rPr>
        <w:t xml:space="preserve">198</w:t>
      </w:r>
      <w:r w:rsidDel="00000000" w:rsidR="00000000" w:rsidRPr="00000000">
        <w:rPr>
          <w:color w:val="222222"/>
          <w:sz w:val="24"/>
          <w:szCs w:val="24"/>
          <w:rtl w:val="0"/>
        </w:rPr>
        <w:t xml:space="preserve"> million in net proceeds </w:t>
      </w:r>
      <w:r w:rsidDel="00000000" w:rsidR="00000000" w:rsidRPr="00000000">
        <w:rPr>
          <w:color w:val="222222"/>
          <w:sz w:val="24"/>
          <w:szCs w:val="24"/>
          <w:highlight w:val="white"/>
          <w:rtl w:val="0"/>
        </w:rPr>
        <w:t xml:space="preserve">from sales</w:t>
      </w:r>
    </w:p>
    <w:p w:rsidR="00000000" w:rsidDel="00000000" w:rsidP="00000000" w:rsidRDefault="00000000" w:rsidRPr="00000000" w14:paraId="00000055">
      <w:pPr>
        <w:numPr>
          <w:ilvl w:val="1"/>
          <w:numId w:val="1"/>
        </w:numPr>
        <w:spacing w:after="0" w:afterAutospacing="0" w:before="0" w:beforeAutospacing="0" w:lineRule="auto"/>
        <w:ind w:left="1440" w:hanging="360"/>
        <w:rPr>
          <w:color w:val="222222"/>
          <w:sz w:val="24"/>
          <w:szCs w:val="24"/>
          <w:u w:val="none"/>
        </w:rPr>
      </w:pPr>
      <w:r w:rsidDel="00000000" w:rsidR="00000000" w:rsidRPr="00000000">
        <w:rPr>
          <w:color w:val="222222"/>
          <w:sz w:val="24"/>
          <w:szCs w:val="24"/>
          <w:rtl w:val="0"/>
        </w:rPr>
        <w:t xml:space="preserve">$9.6 </w:t>
      </w:r>
      <w:r w:rsidDel="00000000" w:rsidR="00000000" w:rsidRPr="00000000">
        <w:rPr>
          <w:color w:val="222222"/>
          <w:sz w:val="24"/>
          <w:szCs w:val="24"/>
          <w:highlight w:val="white"/>
          <w:rtl w:val="0"/>
        </w:rPr>
        <w:t xml:space="preserve">million in annual cost avoidance from owned operating and maintenance costs</w:t>
      </w:r>
    </w:p>
    <w:p w:rsidR="00000000" w:rsidDel="00000000" w:rsidP="00000000" w:rsidRDefault="00000000" w:rsidRPr="00000000" w14:paraId="00000056">
      <w:pPr>
        <w:numPr>
          <w:ilvl w:val="0"/>
          <w:numId w:val="1"/>
        </w:numPr>
        <w:spacing w:after="0" w:afterAutospacing="0" w:before="0" w:beforeAutospacing="0" w:lineRule="auto"/>
        <w:ind w:left="720" w:hanging="360"/>
        <w:rPr>
          <w:color w:val="222222"/>
          <w:sz w:val="24"/>
          <w:szCs w:val="24"/>
          <w:u w:val="none"/>
        </w:rPr>
      </w:pPr>
      <w:r w:rsidDel="00000000" w:rsidR="00000000" w:rsidRPr="00000000">
        <w:rPr>
          <w:color w:val="222222"/>
          <w:sz w:val="24"/>
          <w:szCs w:val="24"/>
          <w:highlight w:val="white"/>
          <w:rtl w:val="0"/>
        </w:rPr>
        <w:t xml:space="preserve">Civilian CFO Act agencies disposed </w:t>
      </w:r>
      <w:r w:rsidDel="00000000" w:rsidR="00000000" w:rsidRPr="00000000">
        <w:rPr>
          <w:color w:val="222222"/>
          <w:sz w:val="24"/>
          <w:szCs w:val="24"/>
          <w:rtl w:val="0"/>
        </w:rPr>
        <w:t xml:space="preserve">of 1,224 </w:t>
      </w:r>
      <w:r w:rsidDel="00000000" w:rsidR="00000000" w:rsidRPr="00000000">
        <w:rPr>
          <w:color w:val="222222"/>
          <w:sz w:val="24"/>
          <w:szCs w:val="24"/>
          <w:highlight w:val="white"/>
          <w:rtl w:val="0"/>
        </w:rPr>
        <w:t xml:space="preserve">owned and otherwise managed structures; DoD disposed of 1,506 owned and otherwise managed structures, resulting in:</w:t>
      </w:r>
    </w:p>
    <w:p w:rsidR="00000000" w:rsidDel="00000000" w:rsidP="00000000" w:rsidRDefault="00000000" w:rsidRPr="00000000" w14:paraId="00000057">
      <w:pPr>
        <w:numPr>
          <w:ilvl w:val="1"/>
          <w:numId w:val="1"/>
        </w:numPr>
        <w:spacing w:after="0" w:afterAutospacing="0" w:before="0" w:beforeAutospacing="0" w:lineRule="auto"/>
        <w:ind w:left="1440" w:hanging="360"/>
        <w:rPr>
          <w:color w:val="222222"/>
          <w:sz w:val="24"/>
          <w:szCs w:val="24"/>
          <w:u w:val="none"/>
        </w:rPr>
      </w:pPr>
      <w:r w:rsidDel="00000000" w:rsidR="00000000" w:rsidRPr="00000000">
        <w:rPr>
          <w:color w:val="222222"/>
          <w:sz w:val="24"/>
          <w:szCs w:val="24"/>
          <w:highlight w:val="white"/>
          <w:rtl w:val="0"/>
        </w:rPr>
        <w:t xml:space="preserve">$</w:t>
      </w:r>
      <w:r w:rsidDel="00000000" w:rsidR="00000000" w:rsidRPr="00000000">
        <w:rPr>
          <w:color w:val="222222"/>
          <w:sz w:val="24"/>
          <w:szCs w:val="24"/>
          <w:rtl w:val="0"/>
        </w:rPr>
        <w:t xml:space="preserve">63</w:t>
      </w:r>
      <w:r w:rsidDel="00000000" w:rsidR="00000000" w:rsidRPr="00000000">
        <w:rPr>
          <w:color w:val="222222"/>
          <w:sz w:val="24"/>
          <w:szCs w:val="24"/>
          <w:rtl w:val="0"/>
        </w:rPr>
        <w:t xml:space="preserve"> million in net proceeds from sales</w:t>
      </w:r>
    </w:p>
    <w:p w:rsidR="00000000" w:rsidDel="00000000" w:rsidP="00000000" w:rsidRDefault="00000000" w:rsidRPr="00000000" w14:paraId="00000058">
      <w:pPr>
        <w:numPr>
          <w:ilvl w:val="1"/>
          <w:numId w:val="1"/>
        </w:numPr>
        <w:spacing w:after="0" w:afterAutospacing="0" w:before="0" w:beforeAutospacing="0" w:lineRule="auto"/>
        <w:ind w:left="1440" w:hanging="360"/>
        <w:rPr>
          <w:color w:val="222222"/>
          <w:sz w:val="24"/>
          <w:szCs w:val="24"/>
          <w:u w:val="none"/>
        </w:rPr>
      </w:pPr>
      <w:r w:rsidDel="00000000" w:rsidR="00000000" w:rsidRPr="00000000">
        <w:rPr>
          <w:color w:val="222222"/>
          <w:sz w:val="24"/>
          <w:szCs w:val="24"/>
          <w:rtl w:val="0"/>
        </w:rPr>
        <w:t xml:space="preserve">$3 million in annual cost avoidance from owned annual operating and m</w:t>
      </w:r>
      <w:r w:rsidDel="00000000" w:rsidR="00000000" w:rsidRPr="00000000">
        <w:rPr>
          <w:color w:val="222222"/>
          <w:sz w:val="24"/>
          <w:szCs w:val="24"/>
          <w:highlight w:val="white"/>
          <w:rtl w:val="0"/>
        </w:rPr>
        <w:t xml:space="preserve">aintenance costs</w:t>
      </w:r>
    </w:p>
    <w:p w:rsidR="00000000" w:rsidDel="00000000" w:rsidP="00000000" w:rsidRDefault="00000000" w:rsidRPr="00000000" w14:paraId="00000059">
      <w:pPr>
        <w:numPr>
          <w:ilvl w:val="0"/>
          <w:numId w:val="1"/>
        </w:numPr>
        <w:spacing w:after="0" w:afterAutospacing="0" w:before="0" w:beforeAutospacing="0" w:lineRule="auto"/>
        <w:ind w:left="720" w:hanging="360"/>
        <w:rPr>
          <w:color w:val="222222"/>
          <w:sz w:val="24"/>
          <w:szCs w:val="24"/>
          <w:u w:val="none"/>
        </w:rPr>
      </w:pPr>
      <w:r w:rsidDel="00000000" w:rsidR="00000000" w:rsidRPr="00000000">
        <w:rPr>
          <w:color w:val="222222"/>
          <w:sz w:val="24"/>
          <w:szCs w:val="24"/>
          <w:highlight w:val="white"/>
          <w:rtl w:val="0"/>
        </w:rPr>
        <w:t xml:space="preserve">Civilian CFO Act agencies and DoD disposed of </w:t>
      </w:r>
      <w:r w:rsidDel="00000000" w:rsidR="00000000" w:rsidRPr="00000000">
        <w:rPr>
          <w:color w:val="222222"/>
          <w:sz w:val="24"/>
          <w:szCs w:val="24"/>
          <w:rtl w:val="0"/>
        </w:rPr>
        <w:t xml:space="preserve">3,350</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owned and otherwise managed acres, resulting in:</w:t>
      </w:r>
    </w:p>
    <w:p w:rsidR="00000000" w:rsidDel="00000000" w:rsidP="00000000" w:rsidRDefault="00000000" w:rsidRPr="00000000" w14:paraId="0000005A">
      <w:pPr>
        <w:numPr>
          <w:ilvl w:val="1"/>
          <w:numId w:val="1"/>
        </w:numPr>
        <w:spacing w:after="0" w:afterAutospacing="0" w:before="0" w:beforeAutospacing="0" w:lineRule="auto"/>
        <w:ind w:left="1440" w:hanging="360"/>
        <w:rPr>
          <w:color w:val="222222"/>
          <w:sz w:val="24"/>
          <w:szCs w:val="24"/>
          <w:u w:val="none"/>
        </w:rPr>
      </w:pPr>
      <w:r w:rsidDel="00000000" w:rsidR="00000000" w:rsidRPr="00000000">
        <w:rPr>
          <w:color w:val="222222"/>
          <w:sz w:val="24"/>
          <w:szCs w:val="24"/>
          <w:rtl w:val="0"/>
        </w:rPr>
        <w:t xml:space="preserve">$24.7 million in net proceeds from sa</w:t>
      </w:r>
      <w:r w:rsidDel="00000000" w:rsidR="00000000" w:rsidRPr="00000000">
        <w:rPr>
          <w:color w:val="222222"/>
          <w:sz w:val="24"/>
          <w:szCs w:val="24"/>
          <w:highlight w:val="white"/>
          <w:rtl w:val="0"/>
        </w:rPr>
        <w:t xml:space="preserve">les</w:t>
      </w:r>
    </w:p>
    <w:p w:rsidR="00000000" w:rsidDel="00000000" w:rsidP="00000000" w:rsidRDefault="00000000" w:rsidRPr="00000000" w14:paraId="0000005B">
      <w:pPr>
        <w:numPr>
          <w:ilvl w:val="1"/>
          <w:numId w:val="1"/>
        </w:numPr>
        <w:spacing w:after="240" w:before="0" w:beforeAutospacing="0" w:lineRule="auto"/>
        <w:ind w:left="1440" w:hanging="360"/>
        <w:rPr>
          <w:color w:val="222222"/>
          <w:sz w:val="24"/>
          <w:szCs w:val="24"/>
          <w:u w:val="none"/>
        </w:rPr>
      </w:pPr>
      <w:r w:rsidDel="00000000" w:rsidR="00000000" w:rsidRPr="00000000">
        <w:rPr>
          <w:color w:val="222222"/>
          <w:sz w:val="24"/>
          <w:szCs w:val="24"/>
          <w:rtl w:val="0"/>
        </w:rPr>
        <w:t xml:space="preserve">$0 in annual </w:t>
      </w:r>
      <w:r w:rsidDel="00000000" w:rsidR="00000000" w:rsidRPr="00000000">
        <w:rPr>
          <w:color w:val="222222"/>
          <w:sz w:val="24"/>
          <w:szCs w:val="24"/>
          <w:highlight w:val="white"/>
          <w:rtl w:val="0"/>
        </w:rPr>
        <w:t xml:space="preserve">cost avoidance from owned operating and maintenance cost</w:t>
      </w:r>
    </w:p>
    <w:p w:rsidR="00000000" w:rsidDel="00000000" w:rsidP="00000000" w:rsidRDefault="00000000" w:rsidRPr="00000000" w14:paraId="0000005C">
      <w:pPr>
        <w:spacing w:after="160" w:line="278.00000000000006" w:lineRule="auto"/>
        <w:rPr>
          <w:sz w:val="24"/>
          <w:szCs w:val="24"/>
        </w:rPr>
      </w:pPr>
      <w:r w:rsidDel="00000000" w:rsidR="00000000" w:rsidRPr="00000000">
        <w:rPr>
          <w:sz w:val="24"/>
          <w:szCs w:val="24"/>
          <w:rtl w:val="0"/>
        </w:rPr>
        <w:t xml:space="preserve">These disposals help agencies optimize their portfolios, reduce maintenance costs, and free up resources for mission-critical needs.</w:t>
      </w:r>
    </w:p>
    <w:p w:rsidR="00000000" w:rsidDel="00000000" w:rsidP="00000000" w:rsidRDefault="00000000" w:rsidRPr="00000000" w14:paraId="0000005D">
      <w:pPr>
        <w:spacing w:after="160" w:line="278.00000000000006" w:lineRule="auto"/>
        <w:rPr>
          <w:b w:val="1"/>
          <w:sz w:val="26"/>
          <w:szCs w:val="26"/>
        </w:rPr>
      </w:pPr>
      <w:r w:rsidDel="00000000" w:rsidR="00000000" w:rsidRPr="00000000">
        <w:rPr>
          <w:b w:val="1"/>
          <w:sz w:val="26"/>
          <w:szCs w:val="26"/>
          <w:rtl w:val="0"/>
        </w:rPr>
        <w:t xml:space="preserve">Looking Ahead to FY 2025: </w:t>
      </w:r>
    </w:p>
    <w:p w:rsidR="00000000" w:rsidDel="00000000" w:rsidP="00000000" w:rsidRDefault="00000000" w:rsidRPr="00000000" w14:paraId="0000005E">
      <w:pPr>
        <w:spacing w:after="160" w:line="278.00000000000006" w:lineRule="auto"/>
        <w:rPr>
          <w:sz w:val="24"/>
          <w:szCs w:val="24"/>
        </w:rPr>
      </w:pPr>
      <w:r w:rsidDel="00000000" w:rsidR="00000000" w:rsidRPr="00000000">
        <w:rPr>
          <w:b w:val="1"/>
          <w:sz w:val="26"/>
          <w:szCs w:val="26"/>
          <w:rtl w:val="0"/>
        </w:rPr>
        <w:t xml:space="preserve">Data to Reflect Administration Efficiency Reforms</w:t>
      </w:r>
      <w:r w:rsidDel="00000000" w:rsidR="00000000" w:rsidRPr="00000000">
        <w:rPr>
          <w:rtl w:val="0"/>
        </w:rPr>
      </w:r>
    </w:p>
    <w:p w:rsidR="00000000" w:rsidDel="00000000" w:rsidP="00000000" w:rsidRDefault="00000000" w:rsidRPr="00000000" w14:paraId="0000005F">
      <w:pPr>
        <w:spacing w:after="160" w:line="278.00000000000006" w:lineRule="auto"/>
        <w:rPr>
          <w:sz w:val="24"/>
          <w:szCs w:val="24"/>
        </w:rPr>
      </w:pPr>
      <w:r w:rsidDel="00000000" w:rsidR="00000000" w:rsidRPr="00000000">
        <w:rPr>
          <w:sz w:val="24"/>
          <w:szCs w:val="24"/>
          <w:rtl w:val="0"/>
        </w:rPr>
        <w:t xml:space="preserve">As we continue our commitment to transparency and efficiency, the FY 2025 FRPP data submission (due December 2025) will incorporate the impact of the Administration’s real property efficiency reforms, including the disposal of unneeded properties and reductions in leased space.  Pay particular attention to the Utilizing Space Efficiently and Improving Technologies Act outlined in Section 2302 of the Thomas R. Carper Water Resources Development Act of 2024</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which drives new occupancy and utilization standards.</w:t>
      </w:r>
    </w:p>
    <w:p w:rsidR="00000000" w:rsidDel="00000000" w:rsidP="00000000" w:rsidRDefault="00000000" w:rsidRPr="00000000" w14:paraId="00000060">
      <w:pPr>
        <w:spacing w:after="160" w:line="278.00000000000006" w:lineRule="auto"/>
        <w:rPr>
          <w:sz w:val="24"/>
          <w:szCs w:val="24"/>
        </w:rPr>
      </w:pPr>
      <w:r w:rsidDel="00000000" w:rsidR="00000000" w:rsidRPr="00000000">
        <w:rPr>
          <w:sz w:val="24"/>
          <w:szCs w:val="24"/>
          <w:rtl w:val="0"/>
        </w:rPr>
        <w:t xml:space="preserve">This legislation requires agencies to deploy standardized occupancy measurement technologies—such as badge swipe data and sensors—and sets a 60% building utilization target for federal properties.  Agencies will report occupancy, capacity, and utilization metrics annually, with noncompliant properties subject to reassignment, consolidation, or disposal.</w:t>
      </w:r>
    </w:p>
    <w:p w:rsidR="00000000" w:rsidDel="00000000" w:rsidP="00000000" w:rsidRDefault="00000000" w:rsidRPr="00000000" w14:paraId="00000061">
      <w:pPr>
        <w:spacing w:after="160" w:line="278.00000000000006" w:lineRule="auto"/>
        <w:rPr>
          <w:sz w:val="24"/>
          <w:szCs w:val="24"/>
        </w:rPr>
      </w:pPr>
      <w:r w:rsidDel="00000000" w:rsidR="00000000" w:rsidRPr="00000000">
        <w:rPr>
          <w:sz w:val="24"/>
          <w:szCs w:val="24"/>
          <w:rtl w:val="0"/>
        </w:rPr>
        <w:t xml:space="preserve">These reforms will fundamentally reshape how agencies manage space, ensure efficient use of taxpayer resources, and promote a right-sized, mission-aligned federal property portfolio.  The FY 2025 FRPP data submission will reflect these impacts—providing a clear, accurate, and forward-looking view of the federal real property footprint as we align with new standards and expectations.</w:t>
      </w:r>
    </w:p>
    <w:p w:rsidR="00000000" w:rsidDel="00000000" w:rsidP="00000000" w:rsidRDefault="00000000" w:rsidRPr="00000000" w14:paraId="00000062">
      <w:pPr>
        <w:spacing w:after="160" w:line="278.00000000000006"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Department of Defense includes the Departments of the Army, Air Force, and Navy, the Corps of Engineers, and Defense/WHS (Washington headquarters).</w:t>
      </w:r>
    </w:p>
  </w:footnote>
  <w:footnote w:id="1">
    <w:p w:rsidR="00000000" w:rsidDel="00000000" w:rsidP="00000000" w:rsidRDefault="00000000" w:rsidRPr="00000000" w14:paraId="0000006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Total Annual Costs for owned assets is the total of Operating costs and Maintenance costs; for leased assets, it is the total of Operating costs, Maintenance costs and Rent.</w:t>
      </w:r>
    </w:p>
  </w:footnote>
  <w:footnote w:id="2">
    <w:p w:rsidR="00000000" w:rsidDel="00000000" w:rsidP="00000000" w:rsidRDefault="00000000" w:rsidRPr="00000000" w14:paraId="0000006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https://www.congress.gov/118/plaws/publ272/PLAW-118publ272.pdf</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www.gsa.gov/policy-regulations/policy/real-property-policy-division-overview/data-collection-and-reports/frpp-summary-report-library" TargetMode="External"/><Relationship Id="rId9" Type="http://schemas.openxmlformats.org/officeDocument/2006/relationships/hyperlink" Target="http://www.gsa.gov/frpprepor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ublicfrppdata.realpropertyprofile.gov/" TargetMode="External"/><Relationship Id="rId8" Type="http://schemas.openxmlformats.org/officeDocument/2006/relationships/hyperlink" Target="https://publicfrppdata.realpropertyprofi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