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533C57E5" w14:textId="56684E1A" w:rsidR="00251836" w:rsidRDefault="00251836" w:rsidP="00465DBF">
      <w:pPr>
        <w:spacing w:before="680" w:after="120" w:line="300" w:lineRule="exact"/>
        <w:jc w:val="center"/>
        <w:rPr>
          <w:b/>
          <w:color w:val="FFFFFF" w:themeColor="background1"/>
          <w:sz w:val="48"/>
          <w:szCs w:val="48"/>
        </w:rPr>
      </w:pPr>
      <w:r>
        <w:rPr>
          <w:b/>
          <w:noProof/>
          <w:color w:val="FFFFFF" w:themeColor="background1"/>
          <w:sz w:val="48"/>
          <w:szCs w:val="48"/>
        </w:rPr>
        <mc:AlternateContent>
          <mc:Choice Requires="wps">
            <w:drawing>
              <wp:anchor distT="0" distB="0" distL="114300" distR="114300" simplePos="0" relativeHeight="251680768" behindDoc="1" locked="0" layoutInCell="1" allowOverlap="1" wp14:anchorId="692CC5EE" wp14:editId="0923BB3A">
                <wp:simplePos x="0" y="0"/>
                <wp:positionH relativeFrom="column">
                  <wp:posOffset>-715736</wp:posOffset>
                </wp:positionH>
                <wp:positionV relativeFrom="paragraph">
                  <wp:posOffset>-345621</wp:posOffset>
                </wp:positionV>
                <wp:extent cx="7813222" cy="1552575"/>
                <wp:effectExtent l="57150" t="19050" r="54610" b="85725"/>
                <wp:wrapNone/>
                <wp:docPr id="137681983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3222" cy="1552575"/>
                        </a:xfrm>
                        <a:prstGeom prst="rect">
                          <a:avLst/>
                        </a:prstGeom>
                        <a:solidFill>
                          <a:schemeClr val="accent6">
                            <a:lumMod val="7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DA78D" id="Rectangle 2" o:spid="_x0000_s1026" alt="&quot;&quot;" style="position:absolute;margin-left:-56.35pt;margin-top:-27.2pt;width:615.2pt;height:122.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" fillcolor="#538135 [2409]" stroked="f">
                <v:shadow on="t" color="black" opacity="22937f" origin=",.5" offset="0,.63889mm"/>
              </v:rect>
            </w:pict>
          </mc:Fallback>
        </mc:AlternateContent>
      </w:r>
      <w:r w:rsidR="00B43F26" w:rsidRPr="00B43F26">
        <w:rPr>
          <w:b/>
          <w:bCs/>
          <w:color w:val="FFFFFF" w:themeColor="background1"/>
          <w:sz w:val="56"/>
          <w:szCs w:val="56"/>
        </w:rPr>
        <w:t xml:space="preserve"> </w:t>
      </w:r>
      <w:r w:rsidR="00386765">
        <w:rPr>
          <w:b/>
          <w:bCs/>
          <w:color w:val="FFFFFF" w:themeColor="background1"/>
          <w:sz w:val="56"/>
          <w:szCs w:val="56"/>
        </w:rPr>
        <w:t>Federal Advisory Committee Bylaws</w:t>
      </w:r>
    </w:p>
    <w:p w14:paraId="4D04C7FA" w14:textId="7ECE968B" w:rsidR="00251836" w:rsidRPr="00EF46E6" w:rsidRDefault="00251836" w:rsidP="007579C4">
      <w:pPr>
        <w:spacing w:before="240" w:after="120" w:line="300" w:lineRule="exact"/>
        <w:jc w:val="center"/>
        <w:rPr>
          <w:b/>
          <w:color w:val="E7E6E6" w:themeColor="background2"/>
          <w:sz w:val="40"/>
          <w:szCs w:val="40"/>
        </w:rPr>
      </w:pPr>
      <w:r w:rsidRPr="00EF46E6">
        <w:rPr>
          <w:b/>
          <w:color w:val="E7E6E6" w:themeColor="background2"/>
          <w:sz w:val="40"/>
          <w:szCs w:val="40"/>
        </w:rPr>
        <w:t>GSA Committee Management Secretariat Guidance</w:t>
      </w:r>
    </w:p>
    <w:p w14:paraId="09E64E82" w14:textId="77777777" w:rsidR="00E0684C" w:rsidRDefault="00E0684C" w:rsidP="00251836">
      <w:pPr>
        <w:tabs>
          <w:tab w:val="left" w:pos="3160"/>
        </w:tabs>
        <w:spacing w:before="120" w:after="120" w:line="240" w:lineRule="auto"/>
        <w:ind w:right="-360"/>
        <w:rPr>
          <w:b/>
          <w:color w:val="0B5394"/>
          <w:sz w:val="40"/>
          <w:szCs w:val="40"/>
        </w:rPr>
        <w:sectPr w:rsidR="00E0684C" w:rsidSect="00251836">
          <w:footerReference w:type="default" r:id="rId8"/>
          <w:type w:val="continuous"/>
          <w:pgSz w:w="12240" w:h="15840"/>
          <w:pgMar w:top="0" w:right="1440" w:bottom="540" w:left="1080" w:header="720" w:footer="0" w:gutter="0"/>
          <w:cols w:space="720"/>
        </w:sectPr>
      </w:pPr>
    </w:p>
    <w:p w14:paraId="4F84BF43" w14:textId="567254F2" w:rsidR="00C639F1" w:rsidRDefault="00465DBF" w:rsidP="00251836">
      <w:pPr>
        <w:tabs>
          <w:tab w:val="left" w:pos="3160"/>
        </w:tabs>
        <w:spacing w:before="120" w:after="120" w:line="240" w:lineRule="auto"/>
        <w:ind w:right="-360"/>
        <w:rPr>
          <w:b/>
          <w:color w:val="0B5394"/>
          <w:sz w:val="40"/>
          <w:szCs w:val="40"/>
        </w:rPr>
        <w:sectPr w:rsidR="00C639F1" w:rsidSect="00E0684C">
          <w:type w:val="continuous"/>
          <w:pgSz w:w="12240" w:h="15840"/>
          <w:pgMar w:top="0" w:right="1440" w:bottom="540" w:left="1080" w:header="720" w:footer="0" w:gutter="0"/>
          <w:cols w:num="2" w:space="720"/>
        </w:sectPr>
      </w:pPr>
      <w:r w:rsidRPr="00EF46E6">
        <w:rPr>
          <w:b/>
          <w:noProof/>
          <w:color w:val="E7E6E6" w:themeColor="background2"/>
          <w:sz w:val="28"/>
          <w:szCs w:val="28"/>
        </w:rPr>
        <mc:AlternateContent>
          <mc:Choice Requires="wps">
            <w:drawing>
              <wp:anchor distT="0" distB="0" distL="114300" distR="114300" simplePos="0" relativeHeight="251674624" behindDoc="0" locked="0" layoutInCell="1" allowOverlap="1" wp14:anchorId="7B03E492" wp14:editId="415BA3BB">
                <wp:simplePos x="0" y="0"/>
                <wp:positionH relativeFrom="page">
                  <wp:posOffset>-388892</wp:posOffset>
                </wp:positionH>
                <wp:positionV relativeFrom="paragraph">
                  <wp:posOffset>188686</wp:posOffset>
                </wp:positionV>
                <wp:extent cx="8221436" cy="5443"/>
                <wp:effectExtent l="57150" t="38100" r="46355" b="90170"/>
                <wp:wrapNone/>
                <wp:docPr id="944302150"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8221436" cy="5443"/>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B753E2" id="Straight Connector 3" o:spid="_x0000_s1026" alt="&quot;&quot;" style="position:absolute;flip:y;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0.6pt,14.85pt" to="616.7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" strokecolor="#a5a5a5 [3206]" strokeweight="3pt">
                <v:shadow on="t" color="black" opacity="22937f" origin=",.5" offset="0,.63889mm"/>
                <w10:wrap anchorx="page"/>
              </v:line>
            </w:pict>
          </mc:Fallback>
        </mc:AlternateContent>
      </w:r>
    </w:p>
    <w:p w14:paraId="736F2B48" w14:textId="77777777" w:rsidR="00E0684C" w:rsidRDefault="00491CA8" w:rsidP="00251836">
      <w:pPr>
        <w:pStyle w:val="Heading1"/>
        <w:spacing w:before="240" w:after="240" w:line="440" w:lineRule="exact"/>
        <w:rPr>
          <w:color w:val="385623" w:themeColor="accent6" w:themeShade="80"/>
        </w:rPr>
      </w:pPr>
      <w:r w:rsidRPr="00E0684C">
        <w:rPr>
          <w:color w:val="385623" w:themeColor="accent6" w:themeShade="80"/>
        </w:rPr>
        <w:t>Introduction:</w:t>
      </w:r>
    </w:p>
    <w:p w14:paraId="020CF548" w14:textId="366C629C" w:rsidR="00E0684C" w:rsidRPr="0087720C" w:rsidRDefault="00E0684C" w:rsidP="00E0684C">
      <w:pPr>
        <w:spacing w:after="240" w:line="260" w:lineRule="exact"/>
        <w:rPr>
          <w:sz w:val="24"/>
          <w:szCs w:val="24"/>
        </w:rPr>
      </w:pPr>
      <w:r w:rsidRPr="0087720C">
        <w:rPr>
          <w:sz w:val="24"/>
          <w:szCs w:val="24"/>
        </w:rPr>
        <w:t xml:space="preserve">The Federal Advisory Committee Act (FACA or “the Act”), as amended, 5 U.S.C. 1001 </w:t>
      </w:r>
      <w:r w:rsidRPr="0087720C">
        <w:rPr>
          <w:i/>
          <w:sz w:val="24"/>
          <w:szCs w:val="24"/>
        </w:rPr>
        <w:t>et seq.,</w:t>
      </w:r>
      <w:r w:rsidRPr="0087720C">
        <w:rPr>
          <w:sz w:val="24"/>
          <w:szCs w:val="24"/>
        </w:rPr>
        <w:t xml:space="preserve"> and the implementing regulations in the FACA Final Rule (41 CFR 102-3) provide the basis for and guidance concerning the governance of the establishment, operation, management, and termination of Federal advisory committees (“advisory committee”) in the executive branch. FACA requires agency heads to “establish uniform administrative guidelines and management controls for advisory committees established by that agency” (5 U.S.C.  §1007(a)). </w:t>
      </w:r>
    </w:p>
    <w:p w14:paraId="462A6A54" w14:textId="77777777" w:rsidR="00E0684C" w:rsidRPr="0087720C" w:rsidRDefault="00E0684C" w:rsidP="00E0684C">
      <w:pPr>
        <w:spacing w:after="240" w:line="260" w:lineRule="exact"/>
        <w:rPr>
          <w:sz w:val="24"/>
          <w:szCs w:val="24"/>
        </w:rPr>
      </w:pPr>
      <w:r w:rsidRPr="0087720C">
        <w:rPr>
          <w:sz w:val="24"/>
          <w:szCs w:val="24"/>
        </w:rPr>
        <w:t>The FACA Final Rule requires these guidelines to provide the details that advisory committee staff need to implement FACA requirements during the creation, operation, and termination of their advisory committees (41 CFR 102-3.105(b)). 41 CFR 102-3.125(a) recommends these agency guidelines specify the content of bylaws and ensure that they provide clear operating procedures for advisory committee meetings, other committee activities, and the relationship between committee members, the D</w:t>
      </w:r>
      <w:r>
        <w:rPr>
          <w:sz w:val="24"/>
          <w:szCs w:val="24"/>
        </w:rPr>
        <w:t>esignated Federal Officer (D</w:t>
      </w:r>
      <w:r w:rsidRPr="0087720C">
        <w:rPr>
          <w:sz w:val="24"/>
          <w:szCs w:val="24"/>
        </w:rPr>
        <w:t>FO</w:t>
      </w:r>
      <w:r>
        <w:rPr>
          <w:sz w:val="24"/>
          <w:szCs w:val="24"/>
        </w:rPr>
        <w:t>)</w:t>
      </w:r>
      <w:r w:rsidRPr="0087720C">
        <w:rPr>
          <w:sz w:val="24"/>
          <w:szCs w:val="24"/>
        </w:rPr>
        <w:t xml:space="preserve">, and agency staff. </w:t>
      </w:r>
    </w:p>
    <w:p w14:paraId="2173B4A2" w14:textId="77777777" w:rsidR="00E0684C" w:rsidRDefault="00E0684C" w:rsidP="00E0684C">
      <w:pPr>
        <w:spacing w:after="240" w:line="260" w:lineRule="exact"/>
        <w:rPr>
          <w:sz w:val="24"/>
          <w:szCs w:val="24"/>
        </w:rPr>
      </w:pPr>
      <w:r w:rsidRPr="0087720C">
        <w:rPr>
          <w:sz w:val="24"/>
          <w:szCs w:val="24"/>
        </w:rPr>
        <w:t>As a best practice, and consistent with 41 CFR 102-3.125(a), the Committee Management Secretariat (CMS) recommends agencies develop bylaws</w:t>
      </w:r>
      <w:r w:rsidRPr="0087720C">
        <w:rPr>
          <w:i/>
          <w:sz w:val="24"/>
          <w:szCs w:val="24"/>
        </w:rPr>
        <w:t xml:space="preserve"> </w:t>
      </w:r>
      <w:r w:rsidRPr="0087720C">
        <w:rPr>
          <w:sz w:val="24"/>
          <w:szCs w:val="24"/>
        </w:rPr>
        <w:t xml:space="preserve">for each advisory committee subject to FACA. In some cases, information in the bylaws may overlap with elements in an advisory committee’s charter, such as the authority and objectives. However, distinct from the charter, the bylaws should provide the specifics of how an advisory committee will conduct business in compliance with FACA and the FACA Final Rule, the charter, the membership balance plan (if applicable), and applicable agency guidelines. </w:t>
      </w:r>
      <w:r>
        <w:rPr>
          <w:sz w:val="24"/>
          <w:szCs w:val="24"/>
        </w:rPr>
        <w:t xml:space="preserve"> </w:t>
      </w:r>
    </w:p>
    <w:p w14:paraId="4430A812" w14:textId="77777777" w:rsidR="00E0684C" w:rsidRDefault="00E0684C" w:rsidP="00E0684C">
      <w:pPr>
        <w:spacing w:after="240" w:line="260" w:lineRule="exact"/>
        <w:rPr>
          <w:sz w:val="24"/>
          <w:szCs w:val="24"/>
        </w:rPr>
      </w:pPr>
    </w:p>
    <w:p w14:paraId="0CB3E2B9" w14:textId="77777777" w:rsidR="00E0684C" w:rsidRDefault="00E0684C" w:rsidP="00E0684C">
      <w:pPr>
        <w:spacing w:after="240" w:line="260" w:lineRule="exact"/>
        <w:rPr>
          <w:sz w:val="24"/>
          <w:szCs w:val="24"/>
        </w:rPr>
      </w:pPr>
    </w:p>
    <w:p w14:paraId="02B7F91A" w14:textId="77777777" w:rsidR="00337B60" w:rsidRDefault="00337B60" w:rsidP="00337B60">
      <w:pPr>
        <w:spacing w:after="0" w:line="260" w:lineRule="exact"/>
        <w:rPr>
          <w:sz w:val="24"/>
          <w:szCs w:val="24"/>
        </w:rPr>
      </w:pPr>
    </w:p>
    <w:p w14:paraId="350392B4" w14:textId="2439DAF6" w:rsidR="00E0684C" w:rsidRDefault="00337B60" w:rsidP="00E0684C">
      <w:pPr>
        <w:spacing w:after="240" w:line="260" w:lineRule="exact"/>
        <w:rPr>
          <w:sz w:val="24"/>
          <w:szCs w:val="24"/>
        </w:rPr>
      </w:pPr>
      <w:r>
        <w:rPr>
          <w:noProof/>
          <w:sz w:val="24"/>
          <w:szCs w:val="24"/>
        </w:rPr>
        <mc:AlternateContent>
          <mc:Choice Requires="wps">
            <w:drawing>
              <wp:anchor distT="0" distB="0" distL="114300" distR="114300" simplePos="0" relativeHeight="251692032" behindDoc="1" locked="0" layoutInCell="1" allowOverlap="1" wp14:anchorId="5A91D2CD" wp14:editId="2ADF8F01">
                <wp:simplePos x="0" y="0"/>
                <wp:positionH relativeFrom="column">
                  <wp:posOffset>-28575</wp:posOffset>
                </wp:positionH>
                <wp:positionV relativeFrom="paragraph">
                  <wp:posOffset>1777365</wp:posOffset>
                </wp:positionV>
                <wp:extent cx="2943225" cy="5686425"/>
                <wp:effectExtent l="57150" t="19050" r="66675" b="85725"/>
                <wp:wrapNone/>
                <wp:docPr id="262592671"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43225" cy="5686425"/>
                        </a:xfrm>
                        <a:prstGeom prst="rect">
                          <a:avLst/>
                        </a:prstGeom>
                        <a:solidFill>
                          <a:schemeClr val="accent6">
                            <a:lumMod val="20000"/>
                            <a:lumOff val="8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489B4A" id="Rectangle 5" o:spid="_x0000_s1026" alt="&quot;&quot;" style="position:absolute;margin-left:-2.25pt;margin-top:139.95pt;width:231.75pt;height:447.75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" fillcolor="#e2efd9 [665]" stroked="f">
                <v:shadow on="t" color="black" opacity="22937f" origin=",.5" offset="0,.63889mm"/>
              </v:rect>
            </w:pict>
          </mc:Fallback>
        </mc:AlternateContent>
      </w:r>
      <w:r w:rsidR="00E0684C">
        <w:rPr>
          <w:sz w:val="24"/>
          <w:szCs w:val="24"/>
        </w:rPr>
        <w:t>A</w:t>
      </w:r>
      <w:r w:rsidR="00E0684C" w:rsidRPr="0087720C">
        <w:rPr>
          <w:sz w:val="24"/>
          <w:szCs w:val="24"/>
        </w:rPr>
        <w:t>gencies are encouraged to include additional information beyond what is suggested in this guidance document as they deem appropriate, and to work with their Committee Management Officer (CMO) to ensure that any applicable internal agency guidelines and requirements are also followed. If you have questions related to developing bylaws, reach out to your agency’s CMO for further guidance.</w:t>
      </w:r>
    </w:p>
    <w:p w14:paraId="651FD61C" w14:textId="0A1C59ED" w:rsidR="00E0684C" w:rsidRPr="001A00CF" w:rsidRDefault="00E0684C" w:rsidP="00E0684C">
      <w:pPr>
        <w:spacing w:before="240" w:after="240" w:line="320" w:lineRule="exact"/>
        <w:ind w:left="86" w:right="29"/>
        <w:rPr>
          <w:b/>
          <w:bCs/>
          <w:sz w:val="28"/>
          <w:szCs w:val="28"/>
        </w:rPr>
      </w:pPr>
      <w:r>
        <w:rPr>
          <w:b/>
          <w:bCs/>
          <w:sz w:val="28"/>
          <w:szCs w:val="28"/>
        </w:rPr>
        <w:t>Guiding Principles</w:t>
      </w:r>
    </w:p>
    <w:p w14:paraId="1165DE65" w14:textId="77777777" w:rsidR="00E0684C" w:rsidRPr="0087720C" w:rsidRDefault="00E0684C" w:rsidP="00E0684C">
      <w:pPr>
        <w:spacing w:before="240" w:after="240" w:line="260" w:lineRule="exact"/>
        <w:ind w:left="86" w:right="29"/>
        <w:rPr>
          <w:sz w:val="24"/>
          <w:szCs w:val="24"/>
        </w:rPr>
      </w:pPr>
      <w:r w:rsidRPr="0087720C">
        <w:rPr>
          <w:sz w:val="24"/>
          <w:szCs w:val="24"/>
        </w:rPr>
        <w:t>When developing bylaws for an advisory committee, certain guiding principles should be kept in mind, including the relationship of the bylaws to agency guidelines and procedures for advisory committees. In general,</w:t>
      </w:r>
    </w:p>
    <w:p w14:paraId="0C118397" w14:textId="77777777" w:rsidR="00E0684C" w:rsidRPr="0087720C" w:rsidRDefault="00E0684C" w:rsidP="00E0684C">
      <w:pPr>
        <w:numPr>
          <w:ilvl w:val="0"/>
          <w:numId w:val="22"/>
        </w:numPr>
        <w:spacing w:before="240" w:after="240" w:line="260" w:lineRule="exact"/>
        <w:ind w:right="29"/>
        <w:rPr>
          <w:sz w:val="24"/>
          <w:szCs w:val="24"/>
        </w:rPr>
      </w:pPr>
      <w:r w:rsidRPr="0087720C">
        <w:rPr>
          <w:sz w:val="24"/>
          <w:szCs w:val="24"/>
        </w:rPr>
        <w:t>Bylaws should focus on the operational procedures for implementing FACA, the FACA Final Rule and applicable agency guidelines at the advisory committee level, rather than restating the policies themselves.</w:t>
      </w:r>
    </w:p>
    <w:p w14:paraId="16F1E27E" w14:textId="77777777" w:rsidR="00E0684C" w:rsidRPr="0087720C" w:rsidRDefault="00E0684C" w:rsidP="00E0684C">
      <w:pPr>
        <w:numPr>
          <w:ilvl w:val="0"/>
          <w:numId w:val="22"/>
        </w:numPr>
        <w:spacing w:before="240" w:after="240" w:line="260" w:lineRule="exact"/>
        <w:ind w:right="29"/>
        <w:rPr>
          <w:sz w:val="24"/>
          <w:szCs w:val="24"/>
        </w:rPr>
      </w:pPr>
      <w:r w:rsidRPr="0087720C">
        <w:rPr>
          <w:sz w:val="24"/>
          <w:szCs w:val="24"/>
        </w:rPr>
        <w:t>Bylaws should provide a level of detail that informs the advisory committee on operating procedures, without being so prescriptive that all agency discretion is lost. No document can account for every possible scenario that may arise.</w:t>
      </w:r>
    </w:p>
    <w:p w14:paraId="588ABCCF" w14:textId="77777777" w:rsidR="00E0684C" w:rsidRPr="0087720C" w:rsidRDefault="00E0684C" w:rsidP="00E0684C">
      <w:pPr>
        <w:numPr>
          <w:ilvl w:val="0"/>
          <w:numId w:val="22"/>
        </w:numPr>
        <w:spacing w:before="240" w:after="240" w:line="260" w:lineRule="exact"/>
        <w:ind w:right="29"/>
        <w:rPr>
          <w:sz w:val="24"/>
          <w:szCs w:val="24"/>
        </w:rPr>
      </w:pPr>
      <w:r w:rsidRPr="0087720C">
        <w:rPr>
          <w:sz w:val="24"/>
          <w:szCs w:val="24"/>
        </w:rPr>
        <w:t>Advisory committee input and buy-in is highly recommended in the development of bylaws, but the drafting of the document falls to the sponsoring agency, not the advisory committee.</w:t>
      </w:r>
    </w:p>
    <w:p w14:paraId="5D7A4483" w14:textId="77777777" w:rsidR="00E0684C" w:rsidRPr="0087720C" w:rsidRDefault="00E0684C" w:rsidP="00E0684C">
      <w:pPr>
        <w:pStyle w:val="ListParagraph"/>
        <w:numPr>
          <w:ilvl w:val="0"/>
          <w:numId w:val="22"/>
        </w:numPr>
        <w:spacing w:line="260" w:lineRule="exact"/>
        <w:rPr>
          <w:sz w:val="24"/>
          <w:szCs w:val="24"/>
        </w:rPr>
      </w:pPr>
      <w:r w:rsidRPr="0087720C">
        <w:rPr>
          <w:sz w:val="24"/>
          <w:szCs w:val="24"/>
        </w:rPr>
        <w:t>Bylaws must be consistent with FACA, the FACA Final Rule, the charter, the advisory committee authority, the membership balance plan (if applicable), and other relevant laws and regulations.</w:t>
      </w:r>
    </w:p>
    <w:p w14:paraId="32AA5DA9" w14:textId="2107DC72" w:rsidR="00E0684C" w:rsidRDefault="00491CA8" w:rsidP="00465DBF">
      <w:pPr>
        <w:pStyle w:val="Heading1"/>
        <w:spacing w:before="240" w:after="240" w:line="440" w:lineRule="exact"/>
        <w:rPr>
          <w:b w:val="0"/>
          <w:color w:val="0B5394"/>
          <w:sz w:val="40"/>
          <w:szCs w:val="40"/>
        </w:rPr>
        <w:sectPr w:rsidR="00E0684C" w:rsidSect="00B43F26">
          <w:type w:val="continuous"/>
          <w:pgSz w:w="12240" w:h="15840"/>
          <w:pgMar w:top="540" w:right="1440" w:bottom="540" w:left="1080" w:header="720" w:footer="0" w:gutter="0"/>
          <w:cols w:num="2" w:space="720"/>
        </w:sectPr>
      </w:pPr>
      <w:r w:rsidRPr="00D21966">
        <w:lastRenderedPageBreak/>
        <w:t xml:space="preserve"> </w:t>
      </w:r>
    </w:p>
    <w:bookmarkStart w:id="0" w:name="_Hlk178162635"/>
    <w:bookmarkStart w:id="1" w:name="_Hlk178162444"/>
    <w:p w14:paraId="0000000E" w14:textId="70FAA521" w:rsidR="00026B11" w:rsidRPr="00465DBF" w:rsidRDefault="00465DBF" w:rsidP="00465DBF">
      <w:pPr>
        <w:pStyle w:val="Heading1"/>
        <w:spacing w:before="0" w:after="240" w:line="460" w:lineRule="exact"/>
        <w:ind w:right="-720"/>
        <w:rPr>
          <w:color w:val="2F5496" w:themeColor="accent1" w:themeShade="BF"/>
        </w:rPr>
      </w:pPr>
      <w:r w:rsidRPr="00465DBF">
        <w:rPr>
          <w:noProof/>
          <w:color w:val="385623" w:themeColor="accent6" w:themeShade="80"/>
          <w:sz w:val="44"/>
          <w:szCs w:val="44"/>
        </w:rPr>
        <mc:AlternateContent>
          <mc:Choice Requires="wps">
            <w:drawing>
              <wp:anchor distT="0" distB="0" distL="114300" distR="114300" simplePos="0" relativeHeight="251693056" behindDoc="1" locked="0" layoutInCell="1" allowOverlap="1" wp14:anchorId="1E13B9C3" wp14:editId="39157CF7">
                <wp:simplePos x="0" y="0"/>
                <wp:positionH relativeFrom="column">
                  <wp:posOffset>-28575</wp:posOffset>
                </wp:positionH>
                <wp:positionV relativeFrom="paragraph">
                  <wp:posOffset>635000</wp:posOffset>
                </wp:positionV>
                <wp:extent cx="6257925" cy="8220075"/>
                <wp:effectExtent l="57150" t="19050" r="66675" b="85725"/>
                <wp:wrapNone/>
                <wp:docPr id="1906049594"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57925" cy="8220075"/>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39966C" id="Rectangle 6" o:spid="_x0000_s1026" alt="&quot;&quot;" style="position:absolute;margin-left:-2.25pt;margin-top:50pt;width:492.75pt;height:647.25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" fillcolor="#f2f2f2 [3052]" stroked="f">
                <v:shadow on="t" color="black" opacity="22937f" origin=",.5" offset="0,.63889mm"/>
              </v:rect>
            </w:pict>
          </mc:Fallback>
        </mc:AlternateContent>
      </w:r>
      <w:r w:rsidR="00337B60" w:rsidRPr="00465DBF">
        <w:rPr>
          <w:color w:val="385623" w:themeColor="accent6" w:themeShade="80"/>
        </w:rPr>
        <w:t>Recommended Elemen</w:t>
      </w:r>
      <w:bookmarkEnd w:id="0"/>
      <w:r w:rsidR="00337B60" w:rsidRPr="00465DBF">
        <w:rPr>
          <w:color w:val="385623" w:themeColor="accent6" w:themeShade="80"/>
        </w:rPr>
        <w:t>ts of Advisory Committee Bylaws:</w:t>
      </w:r>
      <w:bookmarkEnd w:id="1"/>
    </w:p>
    <w:p w14:paraId="6836F4E4" w14:textId="5F61E501" w:rsidR="00337B60" w:rsidRDefault="00337B60" w:rsidP="00337B60">
      <w:pPr>
        <w:pStyle w:val="ListParagraph"/>
        <w:numPr>
          <w:ilvl w:val="3"/>
          <w:numId w:val="23"/>
        </w:numPr>
        <w:pBdr>
          <w:top w:val="nil"/>
          <w:left w:val="nil"/>
          <w:bottom w:val="nil"/>
          <w:right w:val="nil"/>
          <w:between w:val="nil"/>
        </w:pBdr>
        <w:spacing w:before="240" w:after="240" w:line="260" w:lineRule="exact"/>
        <w:ind w:left="360" w:right="155"/>
        <w:rPr>
          <w:rFonts w:eastAsia="Times New Roman"/>
          <w:color w:val="000000"/>
          <w:sz w:val="24"/>
          <w:szCs w:val="24"/>
        </w:rPr>
      </w:pPr>
      <w:r w:rsidRPr="00E468B0">
        <w:rPr>
          <w:rFonts w:eastAsia="Times New Roman"/>
          <w:b/>
          <w:color w:val="000000"/>
          <w:sz w:val="24"/>
          <w:szCs w:val="24"/>
        </w:rPr>
        <w:t xml:space="preserve">Advisory Committee’s Official Designation </w:t>
      </w:r>
      <w:r w:rsidRPr="00E468B0">
        <w:rPr>
          <w:rFonts w:eastAsia="Times New Roman"/>
          <w:color w:val="000000"/>
          <w:sz w:val="24"/>
          <w:szCs w:val="24"/>
        </w:rPr>
        <w:t>(must match the name given in the charter).</w:t>
      </w:r>
    </w:p>
    <w:p w14:paraId="1F5DCB96" w14:textId="1C4DD53F" w:rsidR="00337B60" w:rsidRDefault="00337B60" w:rsidP="00337B60">
      <w:pPr>
        <w:pStyle w:val="ListParagraph"/>
        <w:pBdr>
          <w:top w:val="nil"/>
          <w:left w:val="nil"/>
          <w:bottom w:val="nil"/>
          <w:right w:val="nil"/>
          <w:between w:val="nil"/>
        </w:pBdr>
        <w:spacing w:before="240" w:after="240" w:line="260" w:lineRule="exact"/>
        <w:ind w:left="360" w:right="155"/>
        <w:rPr>
          <w:rFonts w:eastAsia="Times New Roman"/>
          <w:color w:val="000000"/>
          <w:sz w:val="24"/>
          <w:szCs w:val="24"/>
        </w:rPr>
      </w:pPr>
    </w:p>
    <w:p w14:paraId="6C57FD86" w14:textId="77777777" w:rsidR="00337B60" w:rsidRDefault="00337B60" w:rsidP="00337B60">
      <w:pPr>
        <w:pStyle w:val="ListParagraph"/>
        <w:numPr>
          <w:ilvl w:val="3"/>
          <w:numId w:val="23"/>
        </w:numPr>
        <w:pBdr>
          <w:top w:val="nil"/>
          <w:left w:val="nil"/>
          <w:bottom w:val="nil"/>
          <w:right w:val="nil"/>
          <w:between w:val="nil"/>
        </w:pBdr>
        <w:spacing w:before="240" w:after="240" w:line="260" w:lineRule="exact"/>
        <w:ind w:left="360" w:right="155"/>
        <w:rPr>
          <w:rFonts w:eastAsia="Times New Roman"/>
          <w:color w:val="000000"/>
          <w:sz w:val="24"/>
          <w:szCs w:val="24"/>
        </w:rPr>
      </w:pPr>
      <w:r w:rsidRPr="00E468B0">
        <w:rPr>
          <w:rFonts w:eastAsia="Times New Roman"/>
          <w:b/>
          <w:color w:val="000000"/>
          <w:sz w:val="24"/>
          <w:szCs w:val="24"/>
        </w:rPr>
        <w:t>Authority</w:t>
      </w:r>
      <w:r w:rsidRPr="00E468B0">
        <w:rPr>
          <w:rFonts w:eastAsia="Times New Roman"/>
          <w:color w:val="000000"/>
          <w:sz w:val="24"/>
          <w:szCs w:val="24"/>
        </w:rPr>
        <w:t xml:space="preserve">. Provide the establishment authority (e.g., cite the statute, Executive Order or other Presidential directive, or note the advisory committee is agency authority) for the advisory committee, and reference the advisory committee charter. </w:t>
      </w:r>
    </w:p>
    <w:p w14:paraId="06A5FB30" w14:textId="77777777" w:rsidR="00337B60" w:rsidRDefault="00337B60" w:rsidP="00337B60">
      <w:pPr>
        <w:pStyle w:val="ListParagraph"/>
        <w:pBdr>
          <w:top w:val="nil"/>
          <w:left w:val="nil"/>
          <w:bottom w:val="nil"/>
          <w:right w:val="nil"/>
          <w:between w:val="nil"/>
        </w:pBdr>
        <w:spacing w:before="240" w:after="240" w:line="260" w:lineRule="exact"/>
        <w:ind w:left="360" w:right="155"/>
        <w:rPr>
          <w:rFonts w:eastAsia="Times New Roman"/>
          <w:color w:val="000000"/>
          <w:sz w:val="24"/>
          <w:szCs w:val="24"/>
        </w:rPr>
      </w:pPr>
    </w:p>
    <w:p w14:paraId="28A21D81" w14:textId="77777777" w:rsidR="00337B60" w:rsidRPr="00E468B0" w:rsidRDefault="00337B60" w:rsidP="00337B60">
      <w:pPr>
        <w:pStyle w:val="ListParagraph"/>
        <w:numPr>
          <w:ilvl w:val="3"/>
          <w:numId w:val="23"/>
        </w:numPr>
        <w:pBdr>
          <w:top w:val="nil"/>
          <w:left w:val="nil"/>
          <w:bottom w:val="nil"/>
          <w:right w:val="nil"/>
          <w:between w:val="nil"/>
        </w:pBdr>
        <w:spacing w:before="240" w:after="240" w:line="260" w:lineRule="exact"/>
        <w:ind w:left="360" w:right="155"/>
        <w:rPr>
          <w:rFonts w:eastAsia="Times New Roman"/>
          <w:color w:val="000000"/>
          <w:sz w:val="24"/>
          <w:szCs w:val="24"/>
        </w:rPr>
      </w:pPr>
      <w:r w:rsidRPr="00E468B0">
        <w:rPr>
          <w:rFonts w:eastAsia="Times New Roman"/>
          <w:b/>
          <w:color w:val="000000"/>
          <w:sz w:val="24"/>
          <w:szCs w:val="24"/>
        </w:rPr>
        <w:t>Objectives and Scope of Activities</w:t>
      </w:r>
      <w:r w:rsidRPr="00E468B0">
        <w:rPr>
          <w:rFonts w:eastAsia="Times New Roman"/>
          <w:color w:val="000000"/>
          <w:sz w:val="24"/>
          <w:szCs w:val="24"/>
        </w:rPr>
        <w:t>. Describe the advisory committee’s objectives and scope at a high level, as outlined in the charter.</w:t>
      </w:r>
    </w:p>
    <w:p w14:paraId="6E52B920" w14:textId="77777777" w:rsidR="00337B60" w:rsidRPr="0087720C" w:rsidRDefault="00337B60" w:rsidP="00337B60">
      <w:pPr>
        <w:pBdr>
          <w:top w:val="nil"/>
          <w:left w:val="nil"/>
          <w:bottom w:val="nil"/>
          <w:right w:val="nil"/>
          <w:between w:val="nil"/>
        </w:pBdr>
        <w:spacing w:after="240" w:line="260" w:lineRule="exact"/>
        <w:ind w:left="360" w:right="155" w:hanging="360"/>
        <w:rPr>
          <w:rFonts w:eastAsia="Times New Roman"/>
          <w:color w:val="000000"/>
          <w:sz w:val="24"/>
          <w:szCs w:val="24"/>
        </w:rPr>
      </w:pPr>
      <w:r>
        <w:rPr>
          <w:rFonts w:eastAsia="Times New Roman"/>
          <w:b/>
          <w:color w:val="000000"/>
          <w:sz w:val="24"/>
          <w:szCs w:val="24"/>
        </w:rPr>
        <w:t xml:space="preserve">4. </w:t>
      </w:r>
      <w:r>
        <w:rPr>
          <w:rFonts w:eastAsia="Times New Roman"/>
          <w:b/>
          <w:color w:val="000000"/>
          <w:sz w:val="24"/>
          <w:szCs w:val="24"/>
        </w:rPr>
        <w:tab/>
      </w:r>
      <w:r w:rsidRPr="0087720C">
        <w:rPr>
          <w:rFonts w:eastAsia="Times New Roman"/>
          <w:b/>
          <w:color w:val="000000"/>
          <w:sz w:val="24"/>
          <w:szCs w:val="24"/>
        </w:rPr>
        <w:t xml:space="preserve">Membership. </w:t>
      </w:r>
      <w:r w:rsidRPr="0087720C">
        <w:rPr>
          <w:rFonts w:eastAsia="Times New Roman"/>
          <w:color w:val="000000"/>
          <w:sz w:val="24"/>
          <w:szCs w:val="24"/>
        </w:rPr>
        <w:t>Describe the rules or procedures surrounding the member appointments to and service on the advisory committee and its subcommittees, if applicable, including, for example:</w:t>
      </w:r>
    </w:p>
    <w:p w14:paraId="7694E39A" w14:textId="77777777" w:rsidR="00337B60" w:rsidRPr="000B0ADE" w:rsidRDefault="00337B60" w:rsidP="00337B60">
      <w:pPr>
        <w:pStyle w:val="ListParagraph"/>
        <w:numPr>
          <w:ilvl w:val="1"/>
          <w:numId w:val="25"/>
        </w:numPr>
        <w:pBdr>
          <w:top w:val="nil"/>
          <w:left w:val="nil"/>
          <w:bottom w:val="nil"/>
          <w:right w:val="nil"/>
          <w:between w:val="nil"/>
        </w:pBdr>
        <w:spacing w:after="240" w:line="260" w:lineRule="exact"/>
        <w:ind w:left="720" w:right="155"/>
        <w:rPr>
          <w:rFonts w:eastAsia="Times New Roman"/>
          <w:color w:val="000000"/>
          <w:sz w:val="24"/>
          <w:szCs w:val="24"/>
        </w:rPr>
      </w:pPr>
      <w:r w:rsidRPr="000B0ADE">
        <w:rPr>
          <w:rFonts w:eastAsia="Times New Roman"/>
          <w:b/>
          <w:color w:val="000000"/>
          <w:sz w:val="24"/>
          <w:szCs w:val="24"/>
        </w:rPr>
        <w:t>Appointments:</w:t>
      </w:r>
      <w:r w:rsidRPr="000B0ADE">
        <w:rPr>
          <w:rFonts w:eastAsia="Times New Roman"/>
          <w:color w:val="000000"/>
          <w:sz w:val="24"/>
          <w:szCs w:val="24"/>
        </w:rPr>
        <w:t xml:space="preserve"> Describe who will appoint the members, the length of the appointment terms, if the terms are staggered, and term limits, if any. Describe how the leadership roles (i.e. the Chairperson, Vice-Chairperson, Co-Chairpersons) are decided (e.g., selected by the appointing authority or nominated by the membership) and the length of their appointment terms, if different. Unless specified otherwise by statute or Presidential directive, all members serve at the pleasure of the agency appointing official. State whether members will receive compensation for their service. </w:t>
      </w:r>
    </w:p>
    <w:p w14:paraId="48EC8933" w14:textId="77777777" w:rsidR="00337B60" w:rsidRPr="0087720C" w:rsidRDefault="00337B60" w:rsidP="00337B60">
      <w:pPr>
        <w:numPr>
          <w:ilvl w:val="1"/>
          <w:numId w:val="25"/>
        </w:numPr>
        <w:pBdr>
          <w:top w:val="nil"/>
          <w:left w:val="nil"/>
          <w:bottom w:val="nil"/>
          <w:right w:val="nil"/>
          <w:between w:val="nil"/>
        </w:pBdr>
        <w:spacing w:after="240" w:line="260" w:lineRule="exact"/>
        <w:ind w:left="720" w:right="155"/>
        <w:rPr>
          <w:rFonts w:eastAsia="Times New Roman"/>
          <w:color w:val="000000"/>
          <w:sz w:val="24"/>
          <w:szCs w:val="24"/>
        </w:rPr>
      </w:pPr>
      <w:r w:rsidRPr="0087720C">
        <w:rPr>
          <w:rFonts w:eastAsia="Times New Roman"/>
          <w:b/>
          <w:color w:val="000000"/>
          <w:sz w:val="24"/>
          <w:szCs w:val="24"/>
        </w:rPr>
        <w:t>Member Roles and Responsibilities:</w:t>
      </w:r>
      <w:r w:rsidRPr="0087720C">
        <w:rPr>
          <w:rFonts w:eastAsia="Times New Roman"/>
          <w:color w:val="000000"/>
          <w:sz w:val="24"/>
          <w:szCs w:val="24"/>
        </w:rPr>
        <w:t xml:space="preserve"> Describe the expectations for advisory committee and subcommittee members, including the roles and responsibilities of the Chairperson, Vice-Chairperson, Co-Chairpersons, as applicable, and any member roles and responsibilities required by a statute or Presidential directive. Describe any requirements for meeting attendance and participation. If members are Special Government Employees (SGEs) or Regular Government Employees (RGEs), describe any conflict of interest and ethics requirements, such as annual ethics training and recertification, and restrictions on lobbying. </w:t>
      </w:r>
    </w:p>
    <w:p w14:paraId="355845EA" w14:textId="77777777" w:rsidR="00337B60" w:rsidRPr="00E468B0" w:rsidRDefault="00337B60" w:rsidP="00337B60">
      <w:pPr>
        <w:numPr>
          <w:ilvl w:val="1"/>
          <w:numId w:val="25"/>
        </w:numPr>
        <w:pBdr>
          <w:top w:val="nil"/>
          <w:left w:val="nil"/>
          <w:bottom w:val="nil"/>
          <w:right w:val="nil"/>
          <w:between w:val="nil"/>
        </w:pBdr>
        <w:spacing w:after="240" w:line="260" w:lineRule="exact"/>
        <w:ind w:left="720" w:right="155"/>
        <w:rPr>
          <w:rFonts w:eastAsia="Times New Roman"/>
          <w:color w:val="000000"/>
          <w:sz w:val="24"/>
          <w:szCs w:val="24"/>
        </w:rPr>
      </w:pPr>
      <w:r w:rsidRPr="0087720C">
        <w:rPr>
          <w:rFonts w:eastAsia="Times New Roman"/>
          <w:b/>
          <w:color w:val="000000"/>
          <w:sz w:val="24"/>
          <w:szCs w:val="24"/>
        </w:rPr>
        <w:t>Member Termination:</w:t>
      </w:r>
      <w:r w:rsidRPr="0087720C">
        <w:rPr>
          <w:rFonts w:eastAsia="Times New Roman"/>
          <w:color w:val="000000"/>
          <w:sz w:val="24"/>
          <w:szCs w:val="24"/>
        </w:rPr>
        <w:t xml:space="preserve"> Describe any agency policies for the early termination of membership, such as: upon formal resignation of the member; upon written notification from the appointing authority that a member is no longer eligible to serve, perhaps due to a change in employment that creates a conflict of interest or alters the member’s ability to serve; because the member has not executed their duties; or for other reasons. </w:t>
      </w:r>
    </w:p>
    <w:p w14:paraId="167EFA6D" w14:textId="77777777" w:rsidR="00337B60" w:rsidRDefault="00337B60" w:rsidP="00337B60">
      <w:pPr>
        <w:pStyle w:val="ListParagraph"/>
        <w:numPr>
          <w:ilvl w:val="0"/>
          <w:numId w:val="24"/>
        </w:numPr>
        <w:pBdr>
          <w:top w:val="nil"/>
          <w:left w:val="nil"/>
          <w:bottom w:val="nil"/>
          <w:right w:val="nil"/>
          <w:between w:val="nil"/>
        </w:pBdr>
        <w:spacing w:after="240" w:line="260" w:lineRule="exact"/>
        <w:ind w:left="360" w:right="155"/>
        <w:rPr>
          <w:rFonts w:eastAsia="Times New Roman"/>
          <w:color w:val="000000"/>
          <w:sz w:val="24"/>
          <w:szCs w:val="24"/>
        </w:rPr>
      </w:pPr>
      <w:r w:rsidRPr="00A21A0C">
        <w:rPr>
          <w:rFonts w:eastAsia="Times New Roman"/>
          <w:b/>
          <w:color w:val="000000"/>
          <w:sz w:val="24"/>
          <w:szCs w:val="24"/>
        </w:rPr>
        <w:t>Meetings</w:t>
      </w:r>
      <w:r w:rsidRPr="00A21A0C">
        <w:rPr>
          <w:rFonts w:eastAsia="Times New Roman"/>
          <w:color w:val="000000"/>
          <w:sz w:val="24"/>
          <w:szCs w:val="24"/>
        </w:rPr>
        <w:t xml:space="preserve">. Advisory committee and subcommittee meetings are the venue for members to deliberate on advisory committee and subcommittee work; receive oral public comments, as applicable; discuss written comments received; receive informational briefings; and develop and approve recommendations and advice. As such, describing clear meeting procedures that are understood by all participants are critical to the successful fulfillment of the advisory committee’s charter. </w:t>
      </w:r>
    </w:p>
    <w:p w14:paraId="2059E7F7" w14:textId="77777777" w:rsidR="00337B60" w:rsidRPr="00AE20EE" w:rsidRDefault="00337B60" w:rsidP="00337B60">
      <w:pPr>
        <w:pBdr>
          <w:top w:val="nil"/>
          <w:left w:val="nil"/>
          <w:bottom w:val="nil"/>
          <w:right w:val="nil"/>
          <w:between w:val="nil"/>
        </w:pBdr>
        <w:spacing w:after="240" w:line="260" w:lineRule="exact"/>
        <w:ind w:left="360" w:right="155"/>
        <w:rPr>
          <w:rFonts w:eastAsia="Times New Roman"/>
          <w:color w:val="000000"/>
          <w:sz w:val="24"/>
          <w:szCs w:val="24"/>
        </w:rPr>
      </w:pPr>
      <w:r w:rsidRPr="00AE20EE">
        <w:rPr>
          <w:rFonts w:eastAsia="Times New Roman"/>
          <w:color w:val="000000"/>
          <w:sz w:val="24"/>
          <w:szCs w:val="24"/>
        </w:rPr>
        <w:t>Topics that might be addressed include:</w:t>
      </w:r>
    </w:p>
    <w:p w14:paraId="3424A355" w14:textId="77777777" w:rsidR="00337B60" w:rsidRPr="00AE20EE" w:rsidRDefault="00337B60" w:rsidP="00337B60">
      <w:pPr>
        <w:pStyle w:val="ListParagraph"/>
        <w:numPr>
          <w:ilvl w:val="1"/>
          <w:numId w:val="24"/>
        </w:numPr>
        <w:spacing w:after="240" w:line="260" w:lineRule="exact"/>
        <w:ind w:left="720" w:right="155"/>
        <w:rPr>
          <w:sz w:val="24"/>
          <w:szCs w:val="24"/>
        </w:rPr>
      </w:pPr>
      <w:r w:rsidRPr="00AE20EE">
        <w:rPr>
          <w:b/>
          <w:bCs/>
          <w:sz w:val="24"/>
          <w:szCs w:val="24"/>
        </w:rPr>
        <w:t>Agendas:</w:t>
      </w:r>
      <w:r w:rsidRPr="00AE20EE">
        <w:rPr>
          <w:sz w:val="24"/>
          <w:szCs w:val="24"/>
        </w:rPr>
        <w:t xml:space="preserve"> Describe the process for developing and approving agenda items for the advisory committee (e.g., agenda items may be submitted by members, the public, or the</w:t>
      </w:r>
      <w:r w:rsidRPr="00AE20EE">
        <w:t xml:space="preserve"> </w:t>
      </w:r>
      <w:r w:rsidRPr="00AE20EE">
        <w:rPr>
          <w:sz w:val="24"/>
          <w:szCs w:val="24"/>
        </w:rPr>
        <w:t>agency, but must be placed on the agenda by the DFO in consultation with the Chairperson). Describe the process that will be used for any subcommittees, if applicable.</w:t>
      </w:r>
    </w:p>
    <w:p w14:paraId="46D20121" w14:textId="6E3C1244" w:rsidR="00337B60" w:rsidRDefault="00337B60" w:rsidP="00337B60">
      <w:pPr>
        <w:pBdr>
          <w:top w:val="nil"/>
          <w:left w:val="nil"/>
          <w:bottom w:val="nil"/>
          <w:right w:val="nil"/>
          <w:between w:val="nil"/>
        </w:pBdr>
        <w:tabs>
          <w:tab w:val="left" w:pos="10080"/>
        </w:tabs>
        <w:spacing w:after="240" w:line="260" w:lineRule="exact"/>
        <w:ind w:left="720" w:right="26" w:hanging="360"/>
        <w:rPr>
          <w:rFonts w:eastAsia="Times New Roman"/>
          <w:b/>
          <w:color w:val="000000"/>
          <w:sz w:val="24"/>
          <w:szCs w:val="24"/>
        </w:rPr>
      </w:pPr>
      <w:r>
        <w:rPr>
          <w:rFonts w:eastAsia="Times New Roman"/>
          <w:b/>
          <w:noProof/>
          <w:color w:val="000000"/>
          <w:sz w:val="24"/>
          <w:szCs w:val="24"/>
        </w:rPr>
        <w:lastRenderedPageBreak/>
        <mc:AlternateContent>
          <mc:Choice Requires="wps">
            <w:drawing>
              <wp:anchor distT="0" distB="0" distL="114300" distR="114300" simplePos="0" relativeHeight="251694080" behindDoc="1" locked="0" layoutInCell="1" allowOverlap="1" wp14:anchorId="1195B7FD" wp14:editId="2BA82FAC">
                <wp:simplePos x="0" y="0"/>
                <wp:positionH relativeFrom="column">
                  <wp:posOffset>-38100</wp:posOffset>
                </wp:positionH>
                <wp:positionV relativeFrom="paragraph">
                  <wp:posOffset>104775</wp:posOffset>
                </wp:positionV>
                <wp:extent cx="6305550" cy="9001125"/>
                <wp:effectExtent l="57150" t="19050" r="57150" b="85725"/>
                <wp:wrapNone/>
                <wp:docPr id="171423703"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05550" cy="9001125"/>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5B89D" id="Rectangle 7" o:spid="_x0000_s1026" alt="&quot;&quot;" style="position:absolute;margin-left:-3pt;margin-top:8.25pt;width:496.5pt;height:708.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" fillcolor="#f2f2f2 [3052]" stroked="f">
                <v:shadow on="t" color="black" opacity="22937f" origin=",.5" offset="0,.63889mm"/>
              </v:rect>
            </w:pict>
          </mc:Fallback>
        </mc:AlternateContent>
      </w:r>
    </w:p>
    <w:p w14:paraId="594C155C" w14:textId="244F1929" w:rsidR="00337B60" w:rsidRDefault="008E3872" w:rsidP="008E3872">
      <w:pPr>
        <w:pBdr>
          <w:top w:val="nil"/>
          <w:left w:val="nil"/>
          <w:bottom w:val="nil"/>
          <w:right w:val="nil"/>
          <w:between w:val="nil"/>
        </w:pBdr>
        <w:tabs>
          <w:tab w:val="left" w:pos="10080"/>
        </w:tabs>
        <w:spacing w:after="240" w:line="260" w:lineRule="exact"/>
        <w:ind w:left="720" w:right="26" w:hanging="360"/>
        <w:rPr>
          <w:rFonts w:eastAsia="Times New Roman"/>
          <w:color w:val="000000"/>
          <w:sz w:val="24"/>
          <w:szCs w:val="24"/>
        </w:rPr>
      </w:pPr>
      <w:r w:rsidRPr="008E3872">
        <w:rPr>
          <w:rFonts w:eastAsia="Times New Roman"/>
          <w:bCs/>
          <w:color w:val="000000"/>
          <w:sz w:val="24"/>
          <w:szCs w:val="24"/>
        </w:rPr>
        <w:t>b.</w:t>
      </w:r>
      <w:r>
        <w:rPr>
          <w:rFonts w:eastAsia="Times New Roman"/>
          <w:b/>
          <w:color w:val="000000"/>
          <w:sz w:val="24"/>
          <w:szCs w:val="24"/>
        </w:rPr>
        <w:t xml:space="preserve">   </w:t>
      </w:r>
      <w:r w:rsidR="00337B60" w:rsidRPr="00F02EA0">
        <w:rPr>
          <w:rFonts w:eastAsia="Times New Roman"/>
          <w:b/>
          <w:color w:val="000000"/>
          <w:sz w:val="24"/>
          <w:szCs w:val="24"/>
        </w:rPr>
        <w:t xml:space="preserve">Quorum: </w:t>
      </w:r>
      <w:r w:rsidR="00337B60" w:rsidRPr="00F02EA0">
        <w:rPr>
          <w:rFonts w:eastAsia="Times New Roman"/>
          <w:color w:val="000000"/>
          <w:sz w:val="24"/>
          <w:szCs w:val="24"/>
        </w:rPr>
        <w:t>Define what will constitute a quorum for the purposes of conducting advisory committee and subcommittee business. Discuss what actions, if any, may occur in the absence of a quorum. Describe any differences in quorum and voting rules for subcommittees versus the parent advisory committee. When defining a quorum consider how the quorum needs to be balanced in terms of areas of expertise/experience present.</w:t>
      </w:r>
    </w:p>
    <w:p w14:paraId="56DC5C03" w14:textId="77777777" w:rsidR="00337B60" w:rsidRDefault="00337B60" w:rsidP="00337B60">
      <w:pPr>
        <w:pBdr>
          <w:top w:val="nil"/>
          <w:left w:val="nil"/>
          <w:bottom w:val="nil"/>
          <w:right w:val="nil"/>
          <w:between w:val="nil"/>
        </w:pBdr>
        <w:tabs>
          <w:tab w:val="left" w:pos="10080"/>
        </w:tabs>
        <w:spacing w:after="240" w:line="260" w:lineRule="exact"/>
        <w:ind w:left="720" w:right="26" w:hanging="360"/>
        <w:rPr>
          <w:rFonts w:eastAsia="Times New Roman"/>
          <w:color w:val="000000"/>
          <w:sz w:val="24"/>
          <w:szCs w:val="24"/>
        </w:rPr>
      </w:pPr>
      <w:r>
        <w:rPr>
          <w:rFonts w:eastAsia="Times New Roman"/>
          <w:color w:val="000000"/>
          <w:sz w:val="24"/>
          <w:szCs w:val="24"/>
        </w:rPr>
        <w:t xml:space="preserve">c. </w:t>
      </w:r>
      <w:r>
        <w:rPr>
          <w:rFonts w:eastAsia="Times New Roman"/>
          <w:color w:val="000000"/>
          <w:sz w:val="24"/>
          <w:szCs w:val="24"/>
        </w:rPr>
        <w:tab/>
      </w:r>
      <w:r w:rsidRPr="00E468B0">
        <w:rPr>
          <w:rFonts w:eastAsia="Times New Roman"/>
          <w:b/>
          <w:color w:val="000000"/>
          <w:sz w:val="24"/>
          <w:szCs w:val="24"/>
        </w:rPr>
        <w:t xml:space="preserve">Voting: </w:t>
      </w:r>
      <w:r w:rsidRPr="00E468B0">
        <w:rPr>
          <w:rFonts w:eastAsia="Times New Roman"/>
          <w:color w:val="000000"/>
          <w:sz w:val="24"/>
          <w:szCs w:val="24"/>
        </w:rPr>
        <w:t>Describe the procedures for making a motion to vote (e.g., Chairperson or any member may make a motion, seconding the motion is or is not required), who can vote, what actions require a vote, what percentage of members in agreement will be sufficient to pass a vote (e.g., simple majority, two-thirds majority), and how the vote will occur and be documented.</w:t>
      </w:r>
    </w:p>
    <w:p w14:paraId="5EC2C704" w14:textId="77777777" w:rsidR="00337B60" w:rsidRDefault="00337B60" w:rsidP="00337B60">
      <w:pPr>
        <w:pBdr>
          <w:top w:val="nil"/>
          <w:left w:val="nil"/>
          <w:bottom w:val="nil"/>
          <w:right w:val="nil"/>
          <w:between w:val="nil"/>
        </w:pBdr>
        <w:tabs>
          <w:tab w:val="left" w:pos="10080"/>
        </w:tabs>
        <w:spacing w:after="240" w:line="260" w:lineRule="exact"/>
        <w:ind w:left="720" w:right="26" w:hanging="360"/>
        <w:rPr>
          <w:rFonts w:eastAsia="Times New Roman"/>
          <w:color w:val="000000"/>
          <w:sz w:val="24"/>
          <w:szCs w:val="24"/>
        </w:rPr>
      </w:pPr>
      <w:r>
        <w:rPr>
          <w:rFonts w:eastAsia="Times New Roman"/>
          <w:color w:val="000000"/>
          <w:sz w:val="24"/>
          <w:szCs w:val="24"/>
        </w:rPr>
        <w:t xml:space="preserve">d. </w:t>
      </w:r>
      <w:r>
        <w:rPr>
          <w:rFonts w:eastAsia="Times New Roman"/>
          <w:color w:val="000000"/>
          <w:sz w:val="24"/>
          <w:szCs w:val="24"/>
        </w:rPr>
        <w:tab/>
      </w:r>
      <w:r w:rsidRPr="00E468B0">
        <w:rPr>
          <w:rFonts w:eastAsia="Times New Roman"/>
          <w:b/>
          <w:color w:val="000000"/>
          <w:sz w:val="24"/>
          <w:szCs w:val="24"/>
        </w:rPr>
        <w:t>Meeting Format and Openness</w:t>
      </w:r>
      <w:r w:rsidRPr="00E468B0">
        <w:rPr>
          <w:rFonts w:eastAsia="Times New Roman"/>
          <w:color w:val="000000"/>
          <w:sz w:val="24"/>
          <w:szCs w:val="24"/>
        </w:rPr>
        <w:t xml:space="preserve">: Describe the format options for meetings, including in-person, virtual, teleconference, etc. and address the communication platforms that will be used. State the process for determining if a meeting will be open or closed to the public, the requirements for both, and how they will be noticed to the public. Discuss any agency guideline requirements related to the openness of subcommittees. </w:t>
      </w:r>
    </w:p>
    <w:p w14:paraId="7159BBD1" w14:textId="77777777" w:rsidR="00337B60" w:rsidRPr="000A7A65" w:rsidRDefault="00337B60" w:rsidP="00337B60">
      <w:pPr>
        <w:pBdr>
          <w:top w:val="nil"/>
          <w:left w:val="nil"/>
          <w:bottom w:val="nil"/>
          <w:right w:val="nil"/>
          <w:between w:val="nil"/>
        </w:pBdr>
        <w:tabs>
          <w:tab w:val="left" w:pos="10080"/>
        </w:tabs>
        <w:spacing w:after="240" w:line="260" w:lineRule="exact"/>
        <w:ind w:left="720" w:right="26" w:hanging="360"/>
        <w:rPr>
          <w:rFonts w:eastAsia="Times New Roman"/>
          <w:color w:val="000000"/>
          <w:sz w:val="24"/>
          <w:szCs w:val="24"/>
        </w:rPr>
      </w:pPr>
      <w:r>
        <w:rPr>
          <w:rFonts w:eastAsia="Times New Roman"/>
          <w:color w:val="000000"/>
          <w:sz w:val="24"/>
          <w:szCs w:val="24"/>
        </w:rPr>
        <w:t xml:space="preserve">e. </w:t>
      </w:r>
      <w:r>
        <w:rPr>
          <w:rFonts w:eastAsia="Times New Roman"/>
          <w:color w:val="000000"/>
          <w:sz w:val="24"/>
          <w:szCs w:val="24"/>
        </w:rPr>
        <w:tab/>
      </w:r>
      <w:r w:rsidRPr="000A7A65">
        <w:rPr>
          <w:rFonts w:eastAsia="Times New Roman"/>
          <w:b/>
          <w:color w:val="000000"/>
          <w:sz w:val="24"/>
          <w:szCs w:val="24"/>
        </w:rPr>
        <w:t>Public Comments:</w:t>
      </w:r>
      <w:r w:rsidRPr="000A7A65">
        <w:rPr>
          <w:rFonts w:eastAsia="Times New Roman"/>
          <w:color w:val="000000"/>
          <w:sz w:val="24"/>
          <w:szCs w:val="24"/>
        </w:rPr>
        <w:t xml:space="preserve"> Describe the process for providing the public with an opportunity to provide input, including public comments (written, oral, or both). Discuss the time limits for oral public comments during public meetings. Any member of the public is permitted to file a written statement with the advisory committee, or subcommittee, if applicable, </w:t>
      </w:r>
      <w:proofErr w:type="gramStart"/>
      <w:r w:rsidRPr="000A7A65">
        <w:rPr>
          <w:rFonts w:eastAsia="Times New Roman"/>
          <w:color w:val="000000"/>
          <w:sz w:val="24"/>
          <w:szCs w:val="24"/>
        </w:rPr>
        <w:t>whether or not</w:t>
      </w:r>
      <w:proofErr w:type="gramEnd"/>
      <w:r w:rsidRPr="000A7A65">
        <w:rPr>
          <w:rFonts w:eastAsia="Times New Roman"/>
          <w:color w:val="000000"/>
          <w:sz w:val="24"/>
          <w:szCs w:val="24"/>
        </w:rPr>
        <w:t xml:space="preserve"> the statement is related to a specific meeting. </w:t>
      </w:r>
    </w:p>
    <w:p w14:paraId="1A873930" w14:textId="77777777" w:rsidR="00337B60" w:rsidRPr="00E468B0" w:rsidRDefault="00337B60" w:rsidP="00337B60">
      <w:pPr>
        <w:numPr>
          <w:ilvl w:val="0"/>
          <w:numId w:val="24"/>
        </w:numPr>
        <w:pBdr>
          <w:top w:val="nil"/>
          <w:left w:val="nil"/>
          <w:bottom w:val="nil"/>
          <w:right w:val="nil"/>
          <w:between w:val="nil"/>
        </w:pBdr>
        <w:spacing w:after="240" w:line="260" w:lineRule="exact"/>
        <w:ind w:left="360"/>
        <w:rPr>
          <w:rFonts w:eastAsia="Times New Roman"/>
          <w:color w:val="000000"/>
          <w:sz w:val="24"/>
          <w:szCs w:val="24"/>
        </w:rPr>
      </w:pPr>
      <w:r w:rsidRPr="00E468B0">
        <w:rPr>
          <w:rFonts w:eastAsia="Times New Roman"/>
          <w:b/>
          <w:color w:val="000000"/>
          <w:sz w:val="24"/>
          <w:szCs w:val="24"/>
        </w:rPr>
        <w:t>Reports and Recommendations</w:t>
      </w:r>
      <w:r w:rsidRPr="00E468B0">
        <w:rPr>
          <w:rFonts w:eastAsia="Times New Roman"/>
          <w:color w:val="000000"/>
          <w:sz w:val="24"/>
          <w:szCs w:val="24"/>
        </w:rPr>
        <w:t xml:space="preserve">. Describe the process for developing, reviewing, and conveying advisory committee advice and recommendations, written and/or oral, to the agency or Federal officer to whom the advisory committee reports. Describe the process to seek feedback from the agency on how the advice has affected agency programs and decision making, and how this information will be made available to the public.  </w:t>
      </w:r>
    </w:p>
    <w:p w14:paraId="50A9AE71" w14:textId="77777777" w:rsidR="00337B60" w:rsidRPr="00E468B0" w:rsidRDefault="00337B60" w:rsidP="00337B60">
      <w:pPr>
        <w:numPr>
          <w:ilvl w:val="0"/>
          <w:numId w:val="24"/>
        </w:numPr>
        <w:pBdr>
          <w:top w:val="nil"/>
          <w:left w:val="nil"/>
          <w:bottom w:val="nil"/>
          <w:right w:val="nil"/>
          <w:between w:val="nil"/>
        </w:pBdr>
        <w:spacing w:after="240" w:line="260" w:lineRule="exact"/>
        <w:ind w:left="360"/>
        <w:rPr>
          <w:rFonts w:eastAsia="Times New Roman"/>
          <w:color w:val="000000"/>
          <w:sz w:val="24"/>
          <w:szCs w:val="24"/>
        </w:rPr>
      </w:pPr>
      <w:r w:rsidRPr="00E468B0">
        <w:rPr>
          <w:rFonts w:eastAsia="Times New Roman"/>
          <w:b/>
          <w:color w:val="000000"/>
          <w:sz w:val="24"/>
          <w:szCs w:val="24"/>
        </w:rPr>
        <w:t>Minutes and Meeting Materials</w:t>
      </w:r>
      <w:r w:rsidRPr="00E468B0">
        <w:rPr>
          <w:rFonts w:eastAsia="Times New Roman"/>
          <w:color w:val="000000"/>
          <w:sz w:val="24"/>
          <w:szCs w:val="24"/>
        </w:rPr>
        <w:t xml:space="preserve">. Describe how the meeting minutes will be certified by the Chairperson and made available to the members and the public, as applicable, in addition to any other meeting materials. As a best practice, the DFO should create a public facing website for each advisory committee and include meeting materials such as the </w:t>
      </w:r>
      <w:r w:rsidRPr="00E468B0">
        <w:rPr>
          <w:rFonts w:eastAsia="Times New Roman"/>
          <w:i/>
          <w:color w:val="000000"/>
          <w:sz w:val="24"/>
          <w:szCs w:val="24"/>
        </w:rPr>
        <w:t>Federal Register</w:t>
      </w:r>
      <w:r w:rsidRPr="00E468B0">
        <w:rPr>
          <w:rFonts w:eastAsia="Times New Roman"/>
          <w:color w:val="000000"/>
          <w:sz w:val="24"/>
          <w:szCs w:val="24"/>
        </w:rPr>
        <w:t xml:space="preserve"> notices, agendas, presentations, minutes, reports and recommendations, and any other information that would increase the transparency and public understanding of advisory committee functions and activities and assist in fulfilling the requirements under §10(b) of the Act. </w:t>
      </w:r>
    </w:p>
    <w:p w14:paraId="1896143F" w14:textId="77777777" w:rsidR="00337B60" w:rsidRDefault="00337B60" w:rsidP="00337B60">
      <w:pPr>
        <w:pStyle w:val="ListParagraph"/>
        <w:numPr>
          <w:ilvl w:val="0"/>
          <w:numId w:val="26"/>
        </w:numPr>
        <w:spacing w:before="240" w:after="240" w:line="260" w:lineRule="exact"/>
        <w:ind w:left="360" w:right="206"/>
        <w:rPr>
          <w:sz w:val="24"/>
          <w:szCs w:val="24"/>
        </w:rPr>
      </w:pPr>
      <w:r w:rsidRPr="000B0ADE">
        <w:rPr>
          <w:b/>
          <w:sz w:val="24"/>
          <w:szCs w:val="24"/>
        </w:rPr>
        <w:t>External Communications</w:t>
      </w:r>
      <w:r w:rsidRPr="000B0ADE">
        <w:rPr>
          <w:sz w:val="24"/>
          <w:szCs w:val="24"/>
        </w:rPr>
        <w:t xml:space="preserve">. Describe any rules regarding advisory committee member communications between advisory committee meetings (e.g., email exchanges), as well as outside of the advisory committee and subcommittee process (e.g., interviews with the press, using social media/blogs, speaking to Congress). Guiding principles include protecting the integrity of the advisory committee deliberative process and guarding against the appearance of conflicts of interest. It is a best practice to have the DFO responsible for responding to public requests for information about the advisory committee process and work products. </w:t>
      </w:r>
    </w:p>
    <w:p w14:paraId="50937DA4" w14:textId="77777777" w:rsidR="00337B60" w:rsidRDefault="00337B60" w:rsidP="00337B60">
      <w:pPr>
        <w:pStyle w:val="ListParagraph"/>
        <w:spacing w:before="240" w:after="240" w:line="260" w:lineRule="exact"/>
        <w:ind w:left="360" w:right="206"/>
        <w:rPr>
          <w:sz w:val="24"/>
          <w:szCs w:val="24"/>
        </w:rPr>
      </w:pPr>
    </w:p>
    <w:p w14:paraId="4547E4BA" w14:textId="77777777" w:rsidR="00337B60" w:rsidRPr="000B0ADE" w:rsidRDefault="00337B60" w:rsidP="00337B60">
      <w:pPr>
        <w:pStyle w:val="ListParagraph"/>
        <w:numPr>
          <w:ilvl w:val="0"/>
          <w:numId w:val="26"/>
        </w:numPr>
        <w:tabs>
          <w:tab w:val="left" w:pos="9900"/>
        </w:tabs>
        <w:spacing w:before="240" w:after="240" w:line="260" w:lineRule="exact"/>
        <w:ind w:left="360" w:right="219"/>
        <w:rPr>
          <w:sz w:val="24"/>
          <w:szCs w:val="24"/>
        </w:rPr>
      </w:pPr>
      <w:r w:rsidRPr="000B0ADE">
        <w:rPr>
          <w:b/>
          <w:sz w:val="24"/>
          <w:szCs w:val="24"/>
        </w:rPr>
        <w:t>Advisory Committee Staff Roles</w:t>
      </w:r>
      <w:r w:rsidRPr="000B0ADE">
        <w:rPr>
          <w:sz w:val="24"/>
          <w:szCs w:val="24"/>
        </w:rPr>
        <w:t xml:space="preserve">. Describe the role of the DFO, consistent with the charter, and any other staff that provide support for the advisory committee. Describe any additional roles (e.g., an Executive Director) that may be required by the authority for the advisory committee. Describe the relationship between advisory committee members and </w:t>
      </w:r>
      <w:proofErr w:type="gramStart"/>
      <w:r w:rsidRPr="000B0ADE">
        <w:rPr>
          <w:sz w:val="24"/>
          <w:szCs w:val="24"/>
        </w:rPr>
        <w:t>all of</w:t>
      </w:r>
      <w:proofErr w:type="gramEnd"/>
      <w:r w:rsidRPr="000B0ADE">
        <w:rPr>
          <w:sz w:val="24"/>
          <w:szCs w:val="24"/>
        </w:rPr>
        <w:t xml:space="preserve"> these roles.</w:t>
      </w:r>
    </w:p>
    <w:p w14:paraId="3B8D0D98" w14:textId="77777777" w:rsidR="00337B60" w:rsidRPr="00337B60" w:rsidRDefault="00337B60" w:rsidP="00337B60">
      <w:pPr>
        <w:spacing w:before="240" w:after="240" w:line="260" w:lineRule="exact"/>
        <w:ind w:left="720" w:right="270"/>
        <w:rPr>
          <w:sz w:val="24"/>
          <w:szCs w:val="24"/>
        </w:rPr>
      </w:pPr>
    </w:p>
    <w:p w14:paraId="119A7C6D" w14:textId="692B41ED" w:rsidR="00337B60" w:rsidRPr="00E468B0" w:rsidRDefault="00337B60" w:rsidP="00337B60">
      <w:pPr>
        <w:numPr>
          <w:ilvl w:val="0"/>
          <w:numId w:val="26"/>
        </w:numPr>
        <w:spacing w:before="240" w:after="240" w:line="260" w:lineRule="exact"/>
        <w:ind w:right="270"/>
        <w:rPr>
          <w:sz w:val="24"/>
          <w:szCs w:val="24"/>
        </w:rPr>
      </w:pPr>
      <w:r>
        <w:rPr>
          <w:b/>
          <w:noProof/>
          <w:sz w:val="24"/>
          <w:szCs w:val="24"/>
        </w:rPr>
        <mc:AlternateContent>
          <mc:Choice Requires="wps">
            <w:drawing>
              <wp:anchor distT="0" distB="0" distL="114300" distR="114300" simplePos="0" relativeHeight="251695104" behindDoc="1" locked="0" layoutInCell="1" allowOverlap="1" wp14:anchorId="4B7088B5" wp14:editId="26E6C689">
                <wp:simplePos x="0" y="0"/>
                <wp:positionH relativeFrom="column">
                  <wp:posOffset>38100</wp:posOffset>
                </wp:positionH>
                <wp:positionV relativeFrom="paragraph">
                  <wp:posOffset>-114300</wp:posOffset>
                </wp:positionV>
                <wp:extent cx="6257925" cy="1295400"/>
                <wp:effectExtent l="57150" t="19050" r="66675" b="76200"/>
                <wp:wrapNone/>
                <wp:docPr id="1917184849"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57925" cy="1295400"/>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E8D08D" id="Rectangle 8" o:spid="_x0000_s1026" alt="&quot;&quot;" style="position:absolute;margin-left:3pt;margin-top:-9pt;width:492.75pt;height:102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" fillcolor="#f2f2f2 [3052]" stroked="f">
                <v:shadow on="t" color="black" opacity="22937f" origin=",.5" offset="0,.63889mm"/>
              </v:rect>
            </w:pict>
          </mc:Fallback>
        </mc:AlternateContent>
      </w:r>
      <w:r w:rsidRPr="00E468B0">
        <w:rPr>
          <w:b/>
          <w:sz w:val="24"/>
          <w:szCs w:val="24"/>
        </w:rPr>
        <w:t>Amendments</w:t>
      </w:r>
      <w:r w:rsidRPr="00E468B0">
        <w:rPr>
          <w:sz w:val="24"/>
          <w:szCs w:val="24"/>
        </w:rPr>
        <w:t xml:space="preserve">. Describe how and when amendments to the bylaws are made (e.g., who can propose amendments and how they will be approved). Any amendments to the bylaws should also be drafted by the sponsoring agency (i.e., the DFO or advisory committee staff) with advisory committee member input and buy-in. State the date the bylaws were approved and the date of any amendments, if applicable. </w:t>
      </w:r>
    </w:p>
    <w:p w14:paraId="673E1AEE" w14:textId="09F5879F" w:rsidR="00337B60" w:rsidRDefault="00337B60" w:rsidP="00337B60">
      <w:pPr>
        <w:rPr>
          <w:sz w:val="24"/>
          <w:szCs w:val="24"/>
        </w:rPr>
      </w:pPr>
    </w:p>
    <w:p w14:paraId="46043A71" w14:textId="2B608294" w:rsidR="00C9622E" w:rsidRDefault="008E3872">
      <w:pPr>
        <w:spacing w:line="240" w:lineRule="auto"/>
        <w:ind w:right="-360"/>
        <w:rPr>
          <w:b/>
          <w:color w:val="0B5394"/>
          <w:sz w:val="28"/>
          <w:szCs w:val="28"/>
        </w:rPr>
      </w:pPr>
      <w:r>
        <w:rPr>
          <w:b/>
          <w:noProof/>
          <w:color w:val="0B5394"/>
          <w:sz w:val="28"/>
          <w:szCs w:val="28"/>
        </w:rPr>
        <mc:AlternateContent>
          <mc:Choice Requires="wps">
            <w:drawing>
              <wp:anchor distT="0" distB="0" distL="114300" distR="114300" simplePos="0" relativeHeight="251667456" behindDoc="0" locked="0" layoutInCell="1" allowOverlap="1" wp14:anchorId="3CBB6710" wp14:editId="307E3ADD">
                <wp:simplePos x="0" y="0"/>
                <wp:positionH relativeFrom="margin">
                  <wp:align>left</wp:align>
                </wp:positionH>
                <wp:positionV relativeFrom="paragraph">
                  <wp:posOffset>297815</wp:posOffset>
                </wp:positionV>
                <wp:extent cx="6143625" cy="19050"/>
                <wp:effectExtent l="38100" t="38100" r="66675" b="95250"/>
                <wp:wrapNone/>
                <wp:docPr id="634698696"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143625" cy="19050"/>
                        </a:xfrm>
                        <a:prstGeom prst="line">
                          <a:avLst/>
                        </a:prstGeom>
                        <a:ln>
                          <a:prstDash val="lgDashDot"/>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D9CDDC" id="Straight Connector 12" o:spid="_x0000_s1026" alt="&quot;&quot;" style="position:absolute;flip: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45pt" to="483.7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" strokecolor="black [3200]" strokeweight="2pt">
                <v:stroke dashstyle="longDashDot"/>
                <v:shadow on="t" color="black" opacity="24903f" origin=",.5" offset="0,.55556mm"/>
                <w10:wrap anchorx="margin"/>
              </v:line>
            </w:pict>
          </mc:Fallback>
        </mc:AlternateContent>
      </w:r>
    </w:p>
    <w:p w14:paraId="0000002C" w14:textId="3338BD10" w:rsidR="00026B11" w:rsidRPr="0082267A" w:rsidRDefault="00337B60" w:rsidP="003D0DA5">
      <w:pPr>
        <w:pStyle w:val="Heading1"/>
        <w:rPr>
          <w:color w:val="385623" w:themeColor="accent6" w:themeShade="80"/>
        </w:rPr>
      </w:pPr>
      <w:r w:rsidRPr="0082267A">
        <w:rPr>
          <w:color w:val="385623" w:themeColor="accent6" w:themeShade="80"/>
        </w:rPr>
        <w:t>Frequently Asked Questions</w:t>
      </w:r>
      <w:r w:rsidR="00491CA8" w:rsidRPr="0082267A">
        <w:rPr>
          <w:color w:val="385623" w:themeColor="accent6" w:themeShade="80"/>
        </w:rPr>
        <w:t>:</w:t>
      </w:r>
    </w:p>
    <w:p w14:paraId="63CE4EAE" w14:textId="77777777" w:rsidR="00337B60" w:rsidRPr="00A21A0C" w:rsidRDefault="00337B60" w:rsidP="00337B60">
      <w:pPr>
        <w:pBdr>
          <w:top w:val="nil"/>
          <w:left w:val="nil"/>
          <w:bottom w:val="nil"/>
          <w:right w:val="nil"/>
          <w:between w:val="nil"/>
        </w:pBdr>
        <w:spacing w:after="0" w:line="260" w:lineRule="exact"/>
        <w:rPr>
          <w:rFonts w:eastAsia="Times New Roman"/>
          <w:color w:val="000000"/>
          <w:sz w:val="24"/>
          <w:szCs w:val="24"/>
        </w:rPr>
      </w:pPr>
      <w:r w:rsidRPr="00A21A0C">
        <w:rPr>
          <w:rFonts w:eastAsia="Times New Roman"/>
          <w:b/>
          <w:color w:val="000000"/>
          <w:sz w:val="24"/>
          <w:szCs w:val="24"/>
        </w:rPr>
        <w:t>Who develops the bylaws, the advisory committee or the sponsoring agency or department?</w:t>
      </w:r>
      <w:r w:rsidRPr="00A21A0C">
        <w:rPr>
          <w:rFonts w:eastAsia="Times New Roman"/>
          <w:color w:val="000000"/>
          <w:sz w:val="24"/>
          <w:szCs w:val="24"/>
        </w:rPr>
        <w:t xml:space="preserve"> The drafting of the advisory committee bylaws is the responsibility of the sponsoring agency. Typically, the bylaws are drafted by the DFO for the advisory committee member input and buy-in. </w:t>
      </w:r>
    </w:p>
    <w:p w14:paraId="7CAD534E" w14:textId="77777777" w:rsidR="00337B60" w:rsidRPr="00A21A0C" w:rsidRDefault="00337B60" w:rsidP="00337B60">
      <w:pPr>
        <w:pBdr>
          <w:top w:val="nil"/>
          <w:left w:val="nil"/>
          <w:bottom w:val="nil"/>
          <w:right w:val="nil"/>
          <w:between w:val="nil"/>
        </w:pBdr>
        <w:spacing w:after="0" w:line="260" w:lineRule="exact"/>
        <w:rPr>
          <w:rFonts w:eastAsia="Times New Roman"/>
          <w:color w:val="000000"/>
          <w:sz w:val="24"/>
          <w:szCs w:val="24"/>
        </w:rPr>
      </w:pPr>
    </w:p>
    <w:p w14:paraId="2061DF55" w14:textId="77777777" w:rsidR="00337B60" w:rsidRPr="00A21A0C" w:rsidRDefault="00337B60" w:rsidP="00337B60">
      <w:pPr>
        <w:pBdr>
          <w:top w:val="nil"/>
          <w:left w:val="nil"/>
          <w:bottom w:val="nil"/>
          <w:right w:val="nil"/>
          <w:between w:val="nil"/>
        </w:pBdr>
        <w:spacing w:after="0" w:line="260" w:lineRule="exact"/>
        <w:rPr>
          <w:rFonts w:eastAsia="Times New Roman"/>
          <w:color w:val="000000"/>
          <w:sz w:val="24"/>
          <w:szCs w:val="24"/>
        </w:rPr>
      </w:pPr>
      <w:r w:rsidRPr="00A21A0C">
        <w:rPr>
          <w:rFonts w:eastAsia="Times New Roman"/>
          <w:b/>
          <w:color w:val="000000"/>
          <w:sz w:val="24"/>
          <w:szCs w:val="24"/>
        </w:rPr>
        <w:t xml:space="preserve">Does CMS review and approve an advisory committee’s bylaws? </w:t>
      </w:r>
      <w:r w:rsidRPr="00A21A0C">
        <w:rPr>
          <w:rFonts w:eastAsia="Times New Roman"/>
          <w:color w:val="000000"/>
          <w:sz w:val="24"/>
          <w:szCs w:val="24"/>
        </w:rPr>
        <w:t>No.</w:t>
      </w:r>
      <w:r w:rsidRPr="00A21A0C">
        <w:rPr>
          <w:rFonts w:eastAsia="Times New Roman"/>
          <w:b/>
          <w:color w:val="000000"/>
          <w:sz w:val="24"/>
          <w:szCs w:val="24"/>
        </w:rPr>
        <w:t xml:space="preserve"> </w:t>
      </w:r>
      <w:r w:rsidRPr="00A21A0C">
        <w:rPr>
          <w:rFonts w:eastAsia="Times New Roman"/>
          <w:color w:val="000000"/>
          <w:sz w:val="24"/>
          <w:szCs w:val="24"/>
        </w:rPr>
        <w:t>CMS is not involved in drafting or reviewing advisory committee bylaws. Bylaws are an agency responsibility.</w:t>
      </w:r>
    </w:p>
    <w:p w14:paraId="65C18D6D" w14:textId="77777777" w:rsidR="00337B60" w:rsidRPr="00A21A0C" w:rsidRDefault="00337B60" w:rsidP="00337B60">
      <w:pPr>
        <w:pBdr>
          <w:top w:val="nil"/>
          <w:left w:val="nil"/>
          <w:bottom w:val="nil"/>
          <w:right w:val="nil"/>
          <w:between w:val="nil"/>
        </w:pBdr>
        <w:spacing w:after="0" w:line="260" w:lineRule="exact"/>
        <w:rPr>
          <w:rFonts w:eastAsia="Times New Roman"/>
          <w:b/>
          <w:color w:val="000000"/>
          <w:sz w:val="24"/>
          <w:szCs w:val="24"/>
        </w:rPr>
      </w:pPr>
    </w:p>
    <w:p w14:paraId="44174EF5" w14:textId="77777777" w:rsidR="0082267A" w:rsidRDefault="00337B60" w:rsidP="0082267A">
      <w:pPr>
        <w:pBdr>
          <w:top w:val="nil"/>
          <w:left w:val="nil"/>
          <w:bottom w:val="nil"/>
          <w:right w:val="nil"/>
          <w:between w:val="nil"/>
        </w:pBdr>
        <w:spacing w:after="0" w:line="260" w:lineRule="exact"/>
        <w:rPr>
          <w:rFonts w:eastAsia="Times New Roman"/>
          <w:b/>
          <w:color w:val="000000"/>
          <w:sz w:val="24"/>
          <w:szCs w:val="24"/>
        </w:rPr>
      </w:pPr>
      <w:r w:rsidRPr="00A21A0C">
        <w:rPr>
          <w:rFonts w:eastAsia="Times New Roman"/>
          <w:b/>
          <w:color w:val="000000"/>
          <w:sz w:val="24"/>
          <w:szCs w:val="24"/>
        </w:rPr>
        <w:t xml:space="preserve">Do bylaws have filing requirements like the charter? </w:t>
      </w:r>
      <w:r w:rsidRPr="00A21A0C">
        <w:rPr>
          <w:rFonts w:eastAsia="Times New Roman"/>
          <w:color w:val="000000"/>
          <w:sz w:val="24"/>
          <w:szCs w:val="24"/>
        </w:rPr>
        <w:t>No. Unlike the advisory committee charter, there are no filing requirements under FACA or the FACA Final Rule for advisory committee bylaws. It is a best practice to post the bylaws on the advisory committee’s website, if one exists.</w:t>
      </w:r>
    </w:p>
    <w:p w14:paraId="352B95BC" w14:textId="77777777" w:rsidR="0082267A" w:rsidRDefault="0082267A" w:rsidP="0082267A">
      <w:pPr>
        <w:pBdr>
          <w:top w:val="nil"/>
          <w:left w:val="nil"/>
          <w:bottom w:val="nil"/>
          <w:right w:val="nil"/>
          <w:between w:val="nil"/>
        </w:pBdr>
        <w:spacing w:after="0" w:line="260" w:lineRule="exact"/>
        <w:rPr>
          <w:rFonts w:eastAsia="Times New Roman"/>
          <w:b/>
          <w:color w:val="000000"/>
          <w:sz w:val="24"/>
          <w:szCs w:val="24"/>
        </w:rPr>
      </w:pPr>
    </w:p>
    <w:p w14:paraId="7220B17A" w14:textId="0EE0EFF8" w:rsidR="0082267A" w:rsidRDefault="0082267A" w:rsidP="0082267A">
      <w:pPr>
        <w:pBdr>
          <w:top w:val="nil"/>
          <w:left w:val="nil"/>
          <w:bottom w:val="nil"/>
          <w:right w:val="nil"/>
          <w:between w:val="nil"/>
        </w:pBdr>
        <w:spacing w:after="0" w:line="260" w:lineRule="exact"/>
        <w:rPr>
          <w:rFonts w:eastAsia="Times New Roman"/>
          <w:color w:val="000000"/>
          <w:sz w:val="24"/>
          <w:szCs w:val="24"/>
        </w:rPr>
      </w:pPr>
      <w:r w:rsidRPr="00A21A0C">
        <w:rPr>
          <w:rFonts w:eastAsia="Times New Roman"/>
          <w:b/>
          <w:color w:val="000000"/>
          <w:sz w:val="24"/>
          <w:szCs w:val="24"/>
        </w:rPr>
        <w:t xml:space="preserve">Do bylaws have to be made publicly available? </w:t>
      </w:r>
      <w:r w:rsidRPr="00A21A0C">
        <w:rPr>
          <w:rFonts w:eastAsia="Times New Roman"/>
          <w:color w:val="000000"/>
          <w:sz w:val="24"/>
          <w:szCs w:val="24"/>
        </w:rPr>
        <w:t>Yes.</w:t>
      </w:r>
      <w:r w:rsidRPr="00A21A0C">
        <w:rPr>
          <w:rFonts w:eastAsia="Times New Roman"/>
          <w:b/>
          <w:color w:val="000000"/>
          <w:sz w:val="24"/>
          <w:szCs w:val="24"/>
        </w:rPr>
        <w:t xml:space="preserve"> </w:t>
      </w:r>
      <w:r w:rsidRPr="00A21A0C">
        <w:rPr>
          <w:rFonts w:eastAsia="Times New Roman"/>
          <w:color w:val="000000"/>
          <w:sz w:val="24"/>
          <w:szCs w:val="24"/>
        </w:rPr>
        <w:t>Bylaws are considered advisory committee records and therefore must be made available to the public upon request under §10(b) of the Act. It is a best practice to post the bylaws on the advisory committee’s website, if one exist</w:t>
      </w:r>
      <w:r>
        <w:rPr>
          <w:rFonts w:eastAsia="Times New Roman"/>
          <w:color w:val="000000"/>
          <w:sz w:val="24"/>
          <w:szCs w:val="24"/>
        </w:rPr>
        <w:t>s.</w:t>
      </w:r>
    </w:p>
    <w:p w14:paraId="07FB0374" w14:textId="6662B450" w:rsidR="00883154" w:rsidRPr="00EF46E6" w:rsidRDefault="0082267A" w:rsidP="00EF46E6">
      <w:pPr>
        <w:pStyle w:val="Heading1"/>
        <w:rPr>
          <w:color w:val="224F78"/>
          <w:highlight w:val="white"/>
        </w:rPr>
      </w:pPr>
      <w:r w:rsidRPr="0082267A">
        <w:rPr>
          <w:noProof/>
          <w:color w:val="385623" w:themeColor="accent6" w:themeShade="80"/>
        </w:rPr>
        <mc:AlternateContent>
          <mc:Choice Requires="wps">
            <w:drawing>
              <wp:anchor distT="0" distB="0" distL="114300" distR="114300" simplePos="0" relativeHeight="251684864" behindDoc="1" locked="0" layoutInCell="1" allowOverlap="1" wp14:anchorId="3E028801" wp14:editId="31EA0709">
                <wp:simplePos x="0" y="0"/>
                <wp:positionH relativeFrom="page">
                  <wp:align>center</wp:align>
                </wp:positionH>
                <wp:positionV relativeFrom="paragraph">
                  <wp:posOffset>171450</wp:posOffset>
                </wp:positionV>
                <wp:extent cx="6477000" cy="3976007"/>
                <wp:effectExtent l="57150" t="19050" r="57150" b="81915"/>
                <wp:wrapNone/>
                <wp:docPr id="568486392"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0" cy="3976007"/>
                        </a:xfrm>
                        <a:prstGeom prst="rect">
                          <a:avLst/>
                        </a:prstGeom>
                        <a:solidFill>
                          <a:schemeClr val="accent6">
                            <a:lumMod val="20000"/>
                            <a:lumOff val="8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283D7" id="Rectangle 6" o:spid="_x0000_s1026" alt="&quot;&quot;" style="position:absolute;margin-left:0;margin-top:13.5pt;width:510pt;height:313.05pt;z-index:-2516316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" fillcolor="#e2efd9 [665]" stroked="f">
                <v:shadow on="t" color="black" opacity="22937f" origin=",.5" offset="0,.63889mm"/>
                <w10:wrap anchorx="page"/>
              </v:rect>
            </w:pict>
          </mc:Fallback>
        </mc:AlternateContent>
      </w:r>
      <w:r w:rsidRPr="0082267A">
        <w:rPr>
          <w:color w:val="385623" w:themeColor="accent6" w:themeShade="80"/>
        </w:rPr>
        <w:t>F</w:t>
      </w:r>
      <w:r w:rsidR="00883154" w:rsidRPr="0082267A">
        <w:rPr>
          <w:color w:val="385623" w:themeColor="accent6" w:themeShade="80"/>
        </w:rPr>
        <w:t>ACA References</w:t>
      </w:r>
    </w:p>
    <w:p w14:paraId="43C03EF9" w14:textId="352F83B2" w:rsidR="00883154" w:rsidRPr="00627A3C" w:rsidRDefault="00883154" w:rsidP="00883154">
      <w:pPr>
        <w:spacing w:before="120" w:after="240" w:line="260" w:lineRule="exact"/>
        <w:ind w:right="-360"/>
        <w:rPr>
          <w:sz w:val="24"/>
          <w:szCs w:val="24"/>
        </w:rPr>
      </w:pPr>
      <w:r w:rsidRPr="00627A3C">
        <w:rPr>
          <w:sz w:val="24"/>
          <w:szCs w:val="24"/>
        </w:rPr>
        <w:t>Current statutory requirements for a FAC charter are identified in</w:t>
      </w:r>
      <w:r w:rsidRPr="00627A3C">
        <w:rPr>
          <w:bCs/>
          <w:sz w:val="24"/>
          <w:szCs w:val="24"/>
        </w:rPr>
        <w:t xml:space="preserve"> 5 U.S.C. 1008(c)(2)</w:t>
      </w:r>
      <w:r w:rsidRPr="00627A3C">
        <w:rPr>
          <w:b/>
          <w:sz w:val="24"/>
          <w:szCs w:val="24"/>
        </w:rPr>
        <w:t xml:space="preserve"> </w:t>
      </w:r>
      <w:r w:rsidRPr="00627A3C">
        <w:rPr>
          <w:sz w:val="24"/>
          <w:szCs w:val="24"/>
        </w:rPr>
        <w:t>and are repeated in the FACA Final Rule under 41 CFR §§ 102-3.70, 102-3.75, and 102-3.80. For additional guidance see the following:</w:t>
      </w:r>
    </w:p>
    <w:p w14:paraId="413CBB63" w14:textId="7C56C8F5" w:rsidR="00883154" w:rsidRPr="002A44A5" w:rsidRDefault="002A44A5" w:rsidP="0082267A">
      <w:pPr>
        <w:pStyle w:val="ListParagraph"/>
        <w:numPr>
          <w:ilvl w:val="0"/>
          <w:numId w:val="4"/>
        </w:numPr>
        <w:spacing w:after="0" w:line="240" w:lineRule="auto"/>
        <w:ind w:left="547" w:right="432"/>
        <w:contextualSpacing w:val="0"/>
        <w:rPr>
          <w:rStyle w:val="Hyperlink"/>
          <w:color w:val="1F4E79" w:themeColor="accent5" w:themeShade="80"/>
          <w:sz w:val="24"/>
          <w:szCs w:val="24"/>
        </w:rPr>
      </w:pPr>
      <w:r w:rsidRPr="002A44A5">
        <w:rPr>
          <w:b/>
          <w:bCs/>
          <w:color w:val="1F4E79" w:themeColor="accent5" w:themeShade="80"/>
          <w:sz w:val="24"/>
          <w:szCs w:val="24"/>
        </w:rPr>
        <w:fldChar w:fldCharType="begin"/>
      </w:r>
      <w:r w:rsidRPr="002A44A5">
        <w:rPr>
          <w:b/>
          <w:bCs/>
          <w:color w:val="1F4E79" w:themeColor="accent5" w:themeShade="80"/>
          <w:sz w:val="24"/>
          <w:szCs w:val="24"/>
        </w:rPr>
        <w:instrText>HYPERLINK "https://uscode.house.gov/view.xhtml?path=/prelim@title5/part1/chapter10&amp;edition=prelim"</w:instrText>
      </w:r>
      <w:r w:rsidRPr="002A44A5">
        <w:rPr>
          <w:b/>
          <w:bCs/>
          <w:color w:val="1F4E79" w:themeColor="accent5" w:themeShade="80"/>
          <w:sz w:val="24"/>
          <w:szCs w:val="24"/>
        </w:rPr>
      </w:r>
      <w:r w:rsidRPr="002A44A5">
        <w:rPr>
          <w:b/>
          <w:bCs/>
          <w:color w:val="1F4E79" w:themeColor="accent5" w:themeShade="80"/>
          <w:sz w:val="24"/>
          <w:szCs w:val="24"/>
        </w:rPr>
        <w:fldChar w:fldCharType="separate"/>
      </w:r>
      <w:r w:rsidR="00883154" w:rsidRPr="002A44A5">
        <w:rPr>
          <w:rStyle w:val="Hyperlink"/>
          <w:b/>
          <w:bCs/>
          <w:color w:val="1F4E79" w:themeColor="accent5" w:themeShade="80"/>
          <w:sz w:val="24"/>
          <w:szCs w:val="24"/>
        </w:rPr>
        <w:t>The Federal Advisory Committee Act (FACA</w:t>
      </w:r>
      <w:r w:rsidR="00883154" w:rsidRPr="0046464F">
        <w:rPr>
          <w:rStyle w:val="Hyperlink"/>
          <w:b/>
          <w:bCs/>
          <w:color w:val="1F4E79" w:themeColor="accent5" w:themeShade="80"/>
          <w:sz w:val="24"/>
          <w:szCs w:val="24"/>
        </w:rPr>
        <w:t>)</w:t>
      </w:r>
    </w:p>
    <w:p w14:paraId="151558E9" w14:textId="631B76EB" w:rsidR="002A44A5" w:rsidRPr="002A44A5" w:rsidRDefault="002A44A5" w:rsidP="002A44A5">
      <w:pPr>
        <w:tabs>
          <w:tab w:val="left" w:pos="540"/>
        </w:tabs>
        <w:spacing w:after="0" w:line="240" w:lineRule="auto"/>
        <w:ind w:left="900" w:right="432"/>
        <w:rPr>
          <w:b/>
          <w:bCs/>
        </w:rPr>
      </w:pPr>
      <w:r w:rsidRPr="002A44A5">
        <w:rPr>
          <w:b/>
          <w:bCs/>
          <w:color w:val="1F4E79" w:themeColor="accent5" w:themeShade="80"/>
          <w:sz w:val="24"/>
          <w:szCs w:val="24"/>
        </w:rPr>
        <w:fldChar w:fldCharType="end"/>
      </w:r>
      <w:hyperlink r:id="rId9" w:history="1">
        <w:r w:rsidRPr="002A44A5">
          <w:rPr>
            <w:rStyle w:val="Hyperlink"/>
            <w:color w:val="auto"/>
            <w:u w:val="none"/>
          </w:rPr>
          <w:t>https://uscode.house.gov/view.xhtml?path=/prelim@title5/part1/chapter10&amp;edition=prelim</w:t>
        </w:r>
      </w:hyperlink>
    </w:p>
    <w:p w14:paraId="220C4C5E" w14:textId="38CFC069" w:rsidR="00883154" w:rsidRPr="002A44A5" w:rsidRDefault="00442A81" w:rsidP="0082267A">
      <w:pPr>
        <w:numPr>
          <w:ilvl w:val="0"/>
          <w:numId w:val="4"/>
        </w:numPr>
        <w:tabs>
          <w:tab w:val="left" w:pos="540"/>
        </w:tabs>
        <w:spacing w:after="0" w:line="240" w:lineRule="auto"/>
        <w:ind w:left="187" w:right="432" w:firstLine="0"/>
        <w:rPr>
          <w:rStyle w:val="Hyperlink"/>
          <w:b/>
          <w:bCs/>
          <w:color w:val="1F4E79" w:themeColor="accent5" w:themeShade="80"/>
          <w:sz w:val="24"/>
          <w:szCs w:val="24"/>
          <w:u w:val="none"/>
        </w:rPr>
      </w:pPr>
      <w:hyperlink r:id="rId10" w:history="1">
        <w:r w:rsidR="00883154" w:rsidRPr="002A44A5">
          <w:rPr>
            <w:rStyle w:val="Hyperlink"/>
            <w:b/>
            <w:bCs/>
            <w:color w:val="1F4E79" w:themeColor="accent5" w:themeShade="80"/>
            <w:sz w:val="24"/>
            <w:szCs w:val="24"/>
          </w:rPr>
          <w:t>FACA Final Rule (41 CFR Part 102-3)</w:t>
        </w:r>
      </w:hyperlink>
    </w:p>
    <w:p w14:paraId="4CDA6B18" w14:textId="77777777" w:rsidR="00883154" w:rsidRPr="002A44A5" w:rsidRDefault="00883154" w:rsidP="0082267A">
      <w:pPr>
        <w:tabs>
          <w:tab w:val="left" w:pos="540"/>
        </w:tabs>
        <w:spacing w:after="0" w:line="240" w:lineRule="auto"/>
        <w:ind w:left="180" w:right="432" w:firstLine="720"/>
      </w:pPr>
      <w:r w:rsidRPr="002A44A5">
        <w:t>https://www.regulations.gov/document/GSA-FMR-2022-0015-0010</w:t>
      </w:r>
    </w:p>
    <w:p w14:paraId="724B535A" w14:textId="77777777" w:rsidR="00883154" w:rsidRPr="002A44A5" w:rsidRDefault="00442A81" w:rsidP="0082267A">
      <w:pPr>
        <w:numPr>
          <w:ilvl w:val="0"/>
          <w:numId w:val="4"/>
        </w:numPr>
        <w:tabs>
          <w:tab w:val="left" w:pos="540"/>
        </w:tabs>
        <w:spacing w:after="0" w:line="240" w:lineRule="auto"/>
        <w:ind w:left="187" w:right="432" w:firstLine="0"/>
        <w:rPr>
          <w:rStyle w:val="Hyperlink"/>
          <w:b/>
          <w:bCs/>
          <w:color w:val="1F4E79" w:themeColor="accent5" w:themeShade="80"/>
          <w:sz w:val="24"/>
          <w:szCs w:val="24"/>
          <w:u w:val="none"/>
        </w:rPr>
      </w:pPr>
      <w:hyperlink r:id="rId11" w:history="1">
        <w:r w:rsidR="00883154" w:rsidRPr="002A44A5">
          <w:rPr>
            <w:rStyle w:val="Hyperlink"/>
            <w:b/>
            <w:bCs/>
            <w:color w:val="1F4E79" w:themeColor="accent5" w:themeShade="80"/>
            <w:sz w:val="24"/>
            <w:szCs w:val="24"/>
          </w:rPr>
          <w:t>GSA FACA database</w:t>
        </w:r>
      </w:hyperlink>
    </w:p>
    <w:p w14:paraId="4EC9A984" w14:textId="77777777" w:rsidR="00883154" w:rsidRPr="002A44A5" w:rsidRDefault="00883154" w:rsidP="0082267A">
      <w:pPr>
        <w:tabs>
          <w:tab w:val="left" w:pos="540"/>
        </w:tabs>
        <w:spacing w:after="0" w:line="240" w:lineRule="auto"/>
        <w:ind w:left="180" w:right="432" w:firstLine="720"/>
        <w:rPr>
          <w:color w:val="000000" w:themeColor="text1"/>
        </w:rPr>
      </w:pPr>
      <w:r w:rsidRPr="002A44A5">
        <w:rPr>
          <w:color w:val="000000" w:themeColor="text1"/>
        </w:rPr>
        <w:t>https://www.facadatabase.gov/FACA/s/</w:t>
      </w:r>
    </w:p>
    <w:p w14:paraId="297916AE" w14:textId="77777777" w:rsidR="00883154" w:rsidRPr="002A44A5" w:rsidRDefault="00442A81" w:rsidP="0082267A">
      <w:pPr>
        <w:numPr>
          <w:ilvl w:val="0"/>
          <w:numId w:val="4"/>
        </w:numPr>
        <w:tabs>
          <w:tab w:val="left" w:pos="540"/>
        </w:tabs>
        <w:spacing w:after="0" w:line="240" w:lineRule="auto"/>
        <w:ind w:left="187" w:right="432" w:firstLine="0"/>
        <w:rPr>
          <w:rStyle w:val="Hyperlink"/>
          <w:b/>
          <w:bCs/>
          <w:color w:val="1F4E79" w:themeColor="accent5" w:themeShade="80"/>
          <w:sz w:val="24"/>
          <w:szCs w:val="24"/>
          <w:u w:val="none"/>
        </w:rPr>
      </w:pPr>
      <w:hyperlink r:id="rId12" w:history="1">
        <w:r w:rsidR="00883154" w:rsidRPr="002A44A5">
          <w:rPr>
            <w:rStyle w:val="Hyperlink"/>
            <w:b/>
            <w:bCs/>
            <w:color w:val="1F4E79" w:themeColor="accent5" w:themeShade="80"/>
            <w:sz w:val="24"/>
            <w:szCs w:val="24"/>
          </w:rPr>
          <w:t>Committee Management Secretariat website</w:t>
        </w:r>
      </w:hyperlink>
    </w:p>
    <w:p w14:paraId="4AD3609F" w14:textId="77777777" w:rsidR="002A44A5" w:rsidRDefault="00883154" w:rsidP="005562DD">
      <w:pPr>
        <w:tabs>
          <w:tab w:val="left" w:pos="540"/>
        </w:tabs>
        <w:spacing w:after="0" w:line="240" w:lineRule="auto"/>
        <w:ind w:left="900" w:right="432"/>
        <w:rPr>
          <w:rStyle w:val="Hyperlink"/>
          <w:color w:val="000000" w:themeColor="text1"/>
          <w:u w:val="none"/>
        </w:rPr>
      </w:pPr>
      <w:r w:rsidRPr="002A44A5">
        <w:rPr>
          <w:rStyle w:val="Hyperlink"/>
          <w:color w:val="000000" w:themeColor="text1"/>
          <w:u w:val="none"/>
        </w:rPr>
        <w:t>https://www.gsa.gov/policy-regulations/policy/federal-advisory-committee-management</w:t>
      </w:r>
    </w:p>
    <w:p w14:paraId="2567D001" w14:textId="75E0C430" w:rsidR="00883154" w:rsidRPr="002A44A5" w:rsidRDefault="00883154" w:rsidP="005562DD">
      <w:pPr>
        <w:tabs>
          <w:tab w:val="left" w:pos="540"/>
        </w:tabs>
        <w:spacing w:after="0" w:line="240" w:lineRule="auto"/>
        <w:ind w:left="900" w:right="432"/>
        <w:rPr>
          <w:rStyle w:val="Hyperlink"/>
          <w:color w:val="000000" w:themeColor="text1"/>
          <w:u w:val="none"/>
        </w:rPr>
      </w:pPr>
      <w:r w:rsidRPr="002A44A5">
        <w:rPr>
          <w:rStyle w:val="Hyperlink"/>
          <w:color w:val="000000" w:themeColor="text1"/>
          <w:u w:val="none"/>
        </w:rPr>
        <w:t xml:space="preserve">  </w:t>
      </w:r>
    </w:p>
    <w:p w14:paraId="0B5C608E" w14:textId="77777777" w:rsidR="00883154" w:rsidRDefault="00883154" w:rsidP="00883154">
      <w:pPr>
        <w:tabs>
          <w:tab w:val="left" w:pos="540"/>
        </w:tabs>
        <w:spacing w:after="240" w:line="240" w:lineRule="auto"/>
        <w:ind w:left="900" w:right="432" w:hanging="720"/>
        <w:rPr>
          <w:sz w:val="24"/>
          <w:szCs w:val="24"/>
        </w:rPr>
      </w:pPr>
      <w:r w:rsidRPr="00B82872">
        <w:rPr>
          <w:noProof/>
          <w:sz w:val="24"/>
          <w:szCs w:val="24"/>
        </w:rPr>
        <w:drawing>
          <wp:inline distT="0" distB="0" distL="0" distR="0" wp14:anchorId="2B775480" wp14:editId="13622A2E">
            <wp:extent cx="5767057" cy="153030"/>
            <wp:effectExtent l="0" t="0" r="0" b="0"/>
            <wp:docPr id="15879511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51199"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7057" cy="153030"/>
                    </a:xfrm>
                    <a:prstGeom prst="rect">
                      <a:avLst/>
                    </a:prstGeom>
                    <a:noFill/>
                    <a:ln>
                      <a:noFill/>
                    </a:ln>
                  </pic:spPr>
                </pic:pic>
              </a:graphicData>
            </a:graphic>
          </wp:inline>
        </w:drawing>
      </w:r>
    </w:p>
    <w:p w14:paraId="0C608F3F" w14:textId="77777777" w:rsidR="002A44A5" w:rsidRDefault="00883154" w:rsidP="0082267A">
      <w:pPr>
        <w:spacing w:before="120" w:after="120" w:line="260" w:lineRule="exact"/>
        <w:ind w:right="27"/>
        <w:rPr>
          <w:color w:val="0000FF"/>
          <w:sz w:val="24"/>
          <w:szCs w:val="24"/>
        </w:rPr>
      </w:pPr>
      <w:r w:rsidRPr="00D21966">
        <w:rPr>
          <w:sz w:val="24"/>
          <w:szCs w:val="24"/>
        </w:rPr>
        <w:t xml:space="preserve">Comments? Please send to </w:t>
      </w:r>
      <w:hyperlink r:id="rId14">
        <w:r w:rsidRPr="00EF46E6">
          <w:rPr>
            <w:b/>
            <w:bCs/>
            <w:color w:val="224F78"/>
            <w:sz w:val="24"/>
            <w:szCs w:val="24"/>
            <w:u w:val="single"/>
          </w:rPr>
          <w:t>CMS@GSA.gov</w:t>
        </w:r>
      </w:hyperlink>
      <w:r w:rsidRPr="00EF46E6">
        <w:rPr>
          <w:b/>
          <w:bCs/>
          <w:color w:val="224F78"/>
          <w:sz w:val="24"/>
          <w:szCs w:val="24"/>
        </w:rPr>
        <w:t>.</w:t>
      </w:r>
      <w:r w:rsidRPr="00D21966">
        <w:rPr>
          <w:color w:val="0000FF"/>
          <w:sz w:val="24"/>
          <w:szCs w:val="24"/>
        </w:rPr>
        <w:t xml:space="preserve"> </w:t>
      </w:r>
    </w:p>
    <w:p w14:paraId="0000006D" w14:textId="56EE2AF3" w:rsidR="00026B11" w:rsidRPr="00FE6C8B" w:rsidRDefault="00883154" w:rsidP="0082267A">
      <w:pPr>
        <w:spacing w:before="120" w:after="120" w:line="260" w:lineRule="exact"/>
        <w:ind w:right="27"/>
        <w:rPr>
          <w:sz w:val="20"/>
          <w:szCs w:val="20"/>
        </w:rPr>
      </w:pPr>
      <w:r w:rsidRPr="00D21966">
        <w:rPr>
          <w:sz w:val="24"/>
          <w:szCs w:val="24"/>
        </w:rPr>
        <w:t xml:space="preserve">Last updated by the GSA Committee Management Secretariat, Office of Government-wide Policy, on </w:t>
      </w:r>
      <w:r w:rsidR="008D4F45">
        <w:rPr>
          <w:sz w:val="24"/>
          <w:szCs w:val="24"/>
        </w:rPr>
        <w:t xml:space="preserve">October </w:t>
      </w:r>
      <w:r w:rsidR="004E3771">
        <w:rPr>
          <w:sz w:val="24"/>
          <w:szCs w:val="24"/>
        </w:rPr>
        <w:t>30</w:t>
      </w:r>
      <w:r w:rsidRPr="00DB5E0D">
        <w:rPr>
          <w:sz w:val="24"/>
          <w:szCs w:val="24"/>
        </w:rPr>
        <w:t>,</w:t>
      </w:r>
      <w:r w:rsidRPr="00D21966">
        <w:rPr>
          <w:sz w:val="24"/>
          <w:szCs w:val="24"/>
        </w:rPr>
        <w:t xml:space="preserve"> 2024. </w:t>
      </w:r>
    </w:p>
    <w:sectPr w:rsidR="00026B11" w:rsidRPr="00FE6C8B" w:rsidSect="00465DBF">
      <w:type w:val="continuous"/>
      <w:pgSz w:w="12240" w:h="15840"/>
      <w:pgMar w:top="540" w:right="1440" w:bottom="540" w:left="1080" w:header="720" w:footer="1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D6F16A" w14:textId="77777777" w:rsidR="002B2191" w:rsidRDefault="002B2191" w:rsidP="0003214E">
      <w:pPr>
        <w:spacing w:after="0" w:line="240" w:lineRule="auto"/>
      </w:pPr>
      <w:r>
        <w:separator/>
      </w:r>
    </w:p>
  </w:endnote>
  <w:endnote w:type="continuationSeparator" w:id="0">
    <w:p w14:paraId="6AB5C8F0" w14:textId="77777777" w:rsidR="002B2191" w:rsidRDefault="002B2191" w:rsidP="00032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7E1C547-572B-4BAC-9979-B5FBCF6B695B}"/>
    <w:embedBold r:id="rId2" w:fontKey="{A95AD40B-AD77-4A50-993A-7A7FA4BED744}"/>
    <w:embedItalic r:id="rId3" w:fontKey="{2AFB0B28-2CBE-46B7-888D-7EB3DD2EC089}"/>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Regular r:id="rId4" w:fontKey="{E127B730-5B11-4FA6-BFD4-8D12912C7F6B}"/>
    <w:embedItalic r:id="rId5" w:fontKey="{7C7E97CD-5F47-45D5-AE4F-B9AC1A6B547E}"/>
  </w:font>
  <w:font w:name="Cambria">
    <w:panose1 w:val="02040503050406030204"/>
    <w:charset w:val="00"/>
    <w:family w:val="roman"/>
    <w:pitch w:val="variable"/>
    <w:sig w:usb0="E00006FF" w:usb1="420024FF" w:usb2="02000000" w:usb3="00000000" w:csb0="0000019F" w:csb1="00000000"/>
    <w:embedRegular r:id="rId6" w:fontKey="{9BEFFD35-E8B3-47C6-9211-5D45D93A34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0575880"/>
      <w:docPartObj>
        <w:docPartGallery w:val="Page Numbers (Bottom of Page)"/>
        <w:docPartUnique/>
      </w:docPartObj>
    </w:sdtPr>
    <w:sdtEndPr>
      <w:rPr>
        <w:color w:val="224F78"/>
      </w:rPr>
    </w:sdtEndPr>
    <w:sdtContent>
      <w:sdt>
        <w:sdtPr>
          <w:id w:val="1728636285"/>
          <w:docPartObj>
            <w:docPartGallery w:val="Page Numbers (Top of Page)"/>
            <w:docPartUnique/>
          </w:docPartObj>
        </w:sdtPr>
        <w:sdtEndPr>
          <w:rPr>
            <w:color w:val="224F78"/>
          </w:rPr>
        </w:sdtEndPr>
        <w:sdtContent>
          <w:p w14:paraId="4F3DD393" w14:textId="33F94243" w:rsidR="00EF46E6" w:rsidRPr="008D4F45" w:rsidRDefault="00EF46E6" w:rsidP="008E74B5">
            <w:pPr>
              <w:pStyle w:val="Footer"/>
              <w:spacing w:before="240"/>
              <w:jc w:val="center"/>
              <w:rPr>
                <w:color w:val="224F78"/>
              </w:rPr>
            </w:pPr>
            <w:r w:rsidRPr="007579C4">
              <w:rPr>
                <w:color w:val="385623" w:themeColor="accent6" w:themeShade="80"/>
                <w:sz w:val="28"/>
                <w:szCs w:val="28"/>
              </w:rPr>
              <w:t xml:space="preserve">Page </w:t>
            </w:r>
            <w:r w:rsidRPr="007579C4">
              <w:rPr>
                <w:b/>
                <w:bCs/>
                <w:color w:val="385623" w:themeColor="accent6" w:themeShade="80"/>
                <w:sz w:val="28"/>
                <w:szCs w:val="28"/>
              </w:rPr>
              <w:fldChar w:fldCharType="begin"/>
            </w:r>
            <w:r w:rsidRPr="007579C4">
              <w:rPr>
                <w:b/>
                <w:bCs/>
                <w:color w:val="385623" w:themeColor="accent6" w:themeShade="80"/>
                <w:sz w:val="28"/>
                <w:szCs w:val="28"/>
              </w:rPr>
              <w:instrText xml:space="preserve"> PAGE </w:instrText>
            </w:r>
            <w:r w:rsidRPr="007579C4">
              <w:rPr>
                <w:b/>
                <w:bCs/>
                <w:color w:val="385623" w:themeColor="accent6" w:themeShade="80"/>
                <w:sz w:val="28"/>
                <w:szCs w:val="28"/>
              </w:rPr>
              <w:fldChar w:fldCharType="separate"/>
            </w:r>
            <w:r w:rsidRPr="007579C4">
              <w:rPr>
                <w:b/>
                <w:bCs/>
                <w:noProof/>
                <w:color w:val="385623" w:themeColor="accent6" w:themeShade="80"/>
                <w:sz w:val="28"/>
                <w:szCs w:val="28"/>
              </w:rPr>
              <w:t>2</w:t>
            </w:r>
            <w:r w:rsidRPr="007579C4">
              <w:rPr>
                <w:b/>
                <w:bCs/>
                <w:color w:val="385623" w:themeColor="accent6" w:themeShade="80"/>
                <w:sz w:val="28"/>
                <w:szCs w:val="28"/>
              </w:rPr>
              <w:fldChar w:fldCharType="end"/>
            </w:r>
            <w:r w:rsidRPr="007579C4">
              <w:rPr>
                <w:color w:val="385623" w:themeColor="accent6" w:themeShade="80"/>
                <w:sz w:val="28"/>
                <w:szCs w:val="28"/>
              </w:rPr>
              <w:t xml:space="preserve"> of </w:t>
            </w:r>
            <w:r w:rsidRPr="007579C4">
              <w:rPr>
                <w:b/>
                <w:bCs/>
                <w:color w:val="385623" w:themeColor="accent6" w:themeShade="80"/>
                <w:sz w:val="28"/>
                <w:szCs w:val="28"/>
              </w:rPr>
              <w:fldChar w:fldCharType="begin"/>
            </w:r>
            <w:r w:rsidRPr="007579C4">
              <w:rPr>
                <w:b/>
                <w:bCs/>
                <w:color w:val="385623" w:themeColor="accent6" w:themeShade="80"/>
                <w:sz w:val="28"/>
                <w:szCs w:val="28"/>
              </w:rPr>
              <w:instrText xml:space="preserve"> NUMPAGES  </w:instrText>
            </w:r>
            <w:r w:rsidRPr="007579C4">
              <w:rPr>
                <w:b/>
                <w:bCs/>
                <w:color w:val="385623" w:themeColor="accent6" w:themeShade="80"/>
                <w:sz w:val="28"/>
                <w:szCs w:val="28"/>
              </w:rPr>
              <w:fldChar w:fldCharType="separate"/>
            </w:r>
            <w:r w:rsidRPr="007579C4">
              <w:rPr>
                <w:b/>
                <w:bCs/>
                <w:noProof/>
                <w:color w:val="385623" w:themeColor="accent6" w:themeShade="80"/>
                <w:sz w:val="28"/>
                <w:szCs w:val="28"/>
              </w:rPr>
              <w:t>2</w:t>
            </w:r>
            <w:r w:rsidRPr="007579C4">
              <w:rPr>
                <w:b/>
                <w:bCs/>
                <w:color w:val="385623" w:themeColor="accent6" w:themeShade="80"/>
                <w:sz w:val="28"/>
                <w:szCs w:val="28"/>
              </w:rPr>
              <w:fldChar w:fldCharType="end"/>
            </w:r>
          </w:p>
        </w:sdtContent>
      </w:sdt>
    </w:sdtContent>
  </w:sdt>
  <w:p w14:paraId="2BC2519A" w14:textId="0E6EB319" w:rsidR="0003214E" w:rsidRDefault="000321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12589C" w14:textId="77777777" w:rsidR="002B2191" w:rsidRDefault="002B2191" w:rsidP="0003214E">
      <w:pPr>
        <w:spacing w:after="0" w:line="240" w:lineRule="auto"/>
      </w:pPr>
      <w:r>
        <w:separator/>
      </w:r>
    </w:p>
  </w:footnote>
  <w:footnote w:type="continuationSeparator" w:id="0">
    <w:p w14:paraId="321C080E" w14:textId="77777777" w:rsidR="002B2191" w:rsidRDefault="002B2191" w:rsidP="000321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70B37"/>
    <w:multiLevelType w:val="hybridMultilevel"/>
    <w:tmpl w:val="D084E89C"/>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 w15:restartNumberingAfterBreak="0">
    <w:nsid w:val="099B37AD"/>
    <w:multiLevelType w:val="multilevel"/>
    <w:tmpl w:val="39A00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570029"/>
    <w:multiLevelType w:val="hybridMultilevel"/>
    <w:tmpl w:val="2E0CFFBE"/>
    <w:lvl w:ilvl="0" w:tplc="30849698">
      <w:start w:val="5"/>
      <w:numFmt w:val="decimal"/>
      <w:lvlText w:val="%1."/>
      <w:lvlJc w:val="left"/>
      <w:pPr>
        <w:ind w:left="720" w:hanging="360"/>
      </w:pPr>
      <w:rPr>
        <w:rFonts w:hint="default"/>
        <w:b/>
      </w:rPr>
    </w:lvl>
    <w:lvl w:ilvl="1" w:tplc="CF78E618">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6A014E"/>
    <w:multiLevelType w:val="multilevel"/>
    <w:tmpl w:val="8FAC5668"/>
    <w:lvl w:ilvl="0">
      <w:start w:val="1"/>
      <w:numFmt w:val="decimal"/>
      <w:lvlText w:val="%1."/>
      <w:lvlJc w:val="left"/>
      <w:pPr>
        <w:ind w:left="720" w:hanging="360"/>
      </w:pPr>
      <w:rPr>
        <w:b/>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FA52257"/>
    <w:multiLevelType w:val="hybridMultilevel"/>
    <w:tmpl w:val="38AA3B70"/>
    <w:lvl w:ilvl="0" w:tplc="AD68EABC">
      <w:start w:val="1"/>
      <w:numFmt w:val="bullet"/>
      <w:lvlText w:val=""/>
      <w:lvlJc w:val="left"/>
      <w:pPr>
        <w:ind w:left="1080" w:hanging="360"/>
      </w:pPr>
      <w:rPr>
        <w:rFonts w:ascii="Symbol" w:hAnsi="Symbol" w:hint="default"/>
        <w:sz w:val="32"/>
        <w:szCs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1777EF1"/>
    <w:multiLevelType w:val="hybridMultilevel"/>
    <w:tmpl w:val="8E2A776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3A52D17"/>
    <w:multiLevelType w:val="hybridMultilevel"/>
    <w:tmpl w:val="FCA2768E"/>
    <w:lvl w:ilvl="0" w:tplc="6D780138">
      <w:start w:val="1"/>
      <w:numFmt w:val="bullet"/>
      <w:lvlText w:val=""/>
      <w:lvlJc w:val="left"/>
      <w:pPr>
        <w:ind w:left="1440" w:hanging="360"/>
      </w:pPr>
      <w:rPr>
        <w:rFonts w:asciiTheme="majorHAnsi" w:hAnsiTheme="majorHAnsi" w:cstheme="majorHAnsi"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8D2CB5"/>
    <w:multiLevelType w:val="multilevel"/>
    <w:tmpl w:val="5F547066"/>
    <w:lvl w:ilvl="0">
      <w:start w:val="7"/>
      <w:numFmt w:val="decimal"/>
      <w:lvlText w:val="%1."/>
      <w:lvlJc w:val="left"/>
      <w:pPr>
        <w:ind w:left="720" w:hanging="360"/>
      </w:pPr>
      <w:rPr>
        <w:rFonts w:ascii="Arial" w:eastAsia="Arial" w:hAnsi="Arial" w:cs="Arial"/>
        <w:b/>
        <w:sz w:val="26"/>
        <w:szCs w:val="2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FF636AB"/>
    <w:multiLevelType w:val="multilevel"/>
    <w:tmpl w:val="12106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0B7235C"/>
    <w:multiLevelType w:val="multilevel"/>
    <w:tmpl w:val="77404B62"/>
    <w:lvl w:ilvl="0">
      <w:start w:val="1"/>
      <w:numFmt w:val="upperLetter"/>
      <w:lvlText w:val="%1."/>
      <w:lvlJc w:val="left"/>
      <w:pPr>
        <w:ind w:left="990" w:hanging="360"/>
      </w:pPr>
      <w:rPr>
        <w:u w:val="none"/>
      </w:rPr>
    </w:lvl>
    <w:lvl w:ilvl="1">
      <w:start w:val="1"/>
      <w:numFmt w:val="lowerLetter"/>
      <w:lvlText w:val="%2."/>
      <w:lvlJc w:val="left"/>
      <w:pPr>
        <w:ind w:left="1710" w:hanging="360"/>
      </w:pPr>
      <w:rPr>
        <w:u w:val="none"/>
      </w:rPr>
    </w:lvl>
    <w:lvl w:ilvl="2">
      <w:start w:val="1"/>
      <w:numFmt w:val="lowerRoman"/>
      <w:lvlText w:val="%3."/>
      <w:lvlJc w:val="right"/>
      <w:pPr>
        <w:ind w:left="2430" w:hanging="360"/>
      </w:pPr>
      <w:rPr>
        <w:u w:val="none"/>
      </w:rPr>
    </w:lvl>
    <w:lvl w:ilvl="3">
      <w:start w:val="1"/>
      <w:numFmt w:val="decimal"/>
      <w:lvlText w:val="%4."/>
      <w:lvlJc w:val="left"/>
      <w:pPr>
        <w:ind w:left="3150" w:hanging="360"/>
      </w:pPr>
      <w:rPr>
        <w:u w:val="none"/>
      </w:rPr>
    </w:lvl>
    <w:lvl w:ilvl="4">
      <w:start w:val="1"/>
      <w:numFmt w:val="lowerLetter"/>
      <w:lvlText w:val="%5."/>
      <w:lvlJc w:val="left"/>
      <w:pPr>
        <w:ind w:left="3870" w:hanging="360"/>
      </w:pPr>
      <w:rPr>
        <w:u w:val="none"/>
      </w:rPr>
    </w:lvl>
    <w:lvl w:ilvl="5">
      <w:start w:val="1"/>
      <w:numFmt w:val="lowerRoman"/>
      <w:lvlText w:val="%6."/>
      <w:lvlJc w:val="right"/>
      <w:pPr>
        <w:ind w:left="4590" w:hanging="360"/>
      </w:pPr>
      <w:rPr>
        <w:u w:val="none"/>
      </w:rPr>
    </w:lvl>
    <w:lvl w:ilvl="6">
      <w:start w:val="1"/>
      <w:numFmt w:val="decimal"/>
      <w:lvlText w:val="%7."/>
      <w:lvlJc w:val="left"/>
      <w:pPr>
        <w:ind w:left="5310" w:hanging="360"/>
      </w:pPr>
      <w:rPr>
        <w:u w:val="none"/>
      </w:rPr>
    </w:lvl>
    <w:lvl w:ilvl="7">
      <w:start w:val="1"/>
      <w:numFmt w:val="lowerLetter"/>
      <w:lvlText w:val="%8."/>
      <w:lvlJc w:val="left"/>
      <w:pPr>
        <w:ind w:left="6030" w:hanging="360"/>
      </w:pPr>
      <w:rPr>
        <w:u w:val="none"/>
      </w:rPr>
    </w:lvl>
    <w:lvl w:ilvl="8">
      <w:start w:val="1"/>
      <w:numFmt w:val="lowerRoman"/>
      <w:lvlText w:val="%9."/>
      <w:lvlJc w:val="right"/>
      <w:pPr>
        <w:ind w:left="6750" w:hanging="360"/>
      </w:pPr>
      <w:rPr>
        <w:u w:val="none"/>
      </w:rPr>
    </w:lvl>
  </w:abstractNum>
  <w:abstractNum w:abstractNumId="10" w15:restartNumberingAfterBreak="0">
    <w:nsid w:val="34864780"/>
    <w:multiLevelType w:val="hybridMultilevel"/>
    <w:tmpl w:val="3E90AD06"/>
    <w:lvl w:ilvl="0" w:tplc="6D780138">
      <w:start w:val="1"/>
      <w:numFmt w:val="bullet"/>
      <w:lvlText w:val=""/>
      <w:lvlJc w:val="left"/>
      <w:pPr>
        <w:ind w:left="1440" w:hanging="360"/>
      </w:pPr>
      <w:rPr>
        <w:rFonts w:asciiTheme="majorHAnsi" w:hAnsiTheme="majorHAnsi" w:cstheme="majorHAnsi"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5567379"/>
    <w:multiLevelType w:val="multilevel"/>
    <w:tmpl w:val="8E2CA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D110391"/>
    <w:multiLevelType w:val="hybridMultilevel"/>
    <w:tmpl w:val="ED0ECB2E"/>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3" w15:restartNumberingAfterBreak="0">
    <w:nsid w:val="40A83934"/>
    <w:multiLevelType w:val="multilevel"/>
    <w:tmpl w:val="FBE41F9E"/>
    <w:lvl w:ilvl="0">
      <w:start w:val="1"/>
      <w:numFmt w:val="bullet"/>
      <w:lvlText w:val="●"/>
      <w:lvlJc w:val="left"/>
      <w:pPr>
        <w:ind w:left="720" w:hanging="360"/>
      </w:pPr>
      <w:rPr>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5DB15C8"/>
    <w:multiLevelType w:val="hybridMultilevel"/>
    <w:tmpl w:val="85B281D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C59391F"/>
    <w:multiLevelType w:val="multilevel"/>
    <w:tmpl w:val="0C22CB64"/>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F20493D"/>
    <w:multiLevelType w:val="hybridMultilevel"/>
    <w:tmpl w:val="CBCE1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6368EB"/>
    <w:multiLevelType w:val="multilevel"/>
    <w:tmpl w:val="2C3E8F4A"/>
    <w:lvl w:ilvl="0">
      <w:start w:val="8"/>
      <w:numFmt w:val="decimal"/>
      <w:lvlText w:val="%1."/>
      <w:lvlJc w:val="left"/>
      <w:pPr>
        <w:ind w:left="720" w:hanging="360"/>
      </w:pPr>
      <w:rPr>
        <w:rFonts w:hint="default"/>
        <w:b/>
      </w:rPr>
    </w:lvl>
    <w:lvl w:ilvl="1">
      <w:start w:val="1"/>
      <w:numFmt w:val="lowerLetter"/>
      <w:lvlText w:val="%2)"/>
      <w:lvlJc w:val="left"/>
      <w:pPr>
        <w:ind w:left="810" w:hanging="360"/>
      </w:pPr>
      <w:rPr>
        <w:rFonts w:hint="default"/>
        <w:strike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bCs/>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73C76FE6"/>
    <w:multiLevelType w:val="multilevel"/>
    <w:tmpl w:val="26FC1F0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75034607"/>
    <w:multiLevelType w:val="hybridMultilevel"/>
    <w:tmpl w:val="5C0222F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62A0CA9"/>
    <w:multiLevelType w:val="hybridMultilevel"/>
    <w:tmpl w:val="640C7F16"/>
    <w:lvl w:ilvl="0" w:tplc="B27EFB40">
      <w:start w:val="8"/>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4216FE"/>
    <w:multiLevelType w:val="multilevel"/>
    <w:tmpl w:val="DBD06D84"/>
    <w:lvl w:ilvl="0">
      <w:start w:val="1"/>
      <w:numFmt w:val="bullet"/>
      <w:lvlText w:val="●"/>
      <w:lvlJc w:val="left"/>
      <w:pPr>
        <w:ind w:left="720" w:hanging="360"/>
      </w:pPr>
      <w:rPr>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9370507"/>
    <w:multiLevelType w:val="multilevel"/>
    <w:tmpl w:val="0C58DC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7B680B2E"/>
    <w:multiLevelType w:val="multilevel"/>
    <w:tmpl w:val="0A329FC2"/>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DF56575"/>
    <w:multiLevelType w:val="multilevel"/>
    <w:tmpl w:val="28F83A1C"/>
    <w:lvl w:ilvl="0">
      <w:start w:val="9"/>
      <w:numFmt w:val="decimal"/>
      <w:lvlText w:val="%1."/>
      <w:lvlJc w:val="left"/>
      <w:pPr>
        <w:ind w:left="720" w:hanging="360"/>
      </w:pPr>
      <w:rPr>
        <w:rFonts w:hint="default"/>
        <w:b/>
      </w:rPr>
    </w:lvl>
    <w:lvl w:ilvl="1">
      <w:start w:val="1"/>
      <w:numFmt w:val="lowerLetter"/>
      <w:lvlText w:val="%2."/>
      <w:lvlJc w:val="left"/>
      <w:pPr>
        <w:ind w:left="81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bCs/>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EAB2AE4"/>
    <w:multiLevelType w:val="hybridMultilevel"/>
    <w:tmpl w:val="0C64C1C6"/>
    <w:lvl w:ilvl="0" w:tplc="763070F8">
      <w:start w:val="1"/>
      <w:numFmt w:val="decimal"/>
      <w:lvlText w:val="%1."/>
      <w:lvlJc w:val="left"/>
      <w:pPr>
        <w:ind w:left="720" w:hanging="360"/>
      </w:pPr>
      <w:rPr>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6027646">
    <w:abstractNumId w:val="7"/>
  </w:num>
  <w:num w:numId="2" w16cid:durableId="955016187">
    <w:abstractNumId w:val="3"/>
  </w:num>
  <w:num w:numId="3" w16cid:durableId="1810632289">
    <w:abstractNumId w:val="11"/>
  </w:num>
  <w:num w:numId="4" w16cid:durableId="711536700">
    <w:abstractNumId w:val="23"/>
  </w:num>
  <w:num w:numId="5" w16cid:durableId="463812793">
    <w:abstractNumId w:val="8"/>
  </w:num>
  <w:num w:numId="6" w16cid:durableId="1051542538">
    <w:abstractNumId w:val="13"/>
  </w:num>
  <w:num w:numId="7" w16cid:durableId="1909261118">
    <w:abstractNumId w:val="15"/>
  </w:num>
  <w:num w:numId="8" w16cid:durableId="687369342">
    <w:abstractNumId w:val="21"/>
  </w:num>
  <w:num w:numId="9" w16cid:durableId="871455838">
    <w:abstractNumId w:val="9"/>
  </w:num>
  <w:num w:numId="10" w16cid:durableId="258222027">
    <w:abstractNumId w:val="1"/>
  </w:num>
  <w:num w:numId="11" w16cid:durableId="1242788392">
    <w:abstractNumId w:val="10"/>
  </w:num>
  <w:num w:numId="12" w16cid:durableId="1846439403">
    <w:abstractNumId w:val="6"/>
  </w:num>
  <w:num w:numId="13" w16cid:durableId="1223907762">
    <w:abstractNumId w:val="16"/>
  </w:num>
  <w:num w:numId="14" w16cid:durableId="1909343430">
    <w:abstractNumId w:val="4"/>
  </w:num>
  <w:num w:numId="15" w16cid:durableId="1928729834">
    <w:abstractNumId w:val="0"/>
  </w:num>
  <w:num w:numId="16" w16cid:durableId="2123257739">
    <w:abstractNumId w:val="12"/>
  </w:num>
  <w:num w:numId="17" w16cid:durableId="913707889">
    <w:abstractNumId w:val="25"/>
  </w:num>
  <w:num w:numId="18" w16cid:durableId="159934114">
    <w:abstractNumId w:val="5"/>
  </w:num>
  <w:num w:numId="19" w16cid:durableId="944192060">
    <w:abstractNumId w:val="14"/>
  </w:num>
  <w:num w:numId="20" w16cid:durableId="468321647">
    <w:abstractNumId w:val="18"/>
  </w:num>
  <w:num w:numId="21" w16cid:durableId="1916158145">
    <w:abstractNumId w:val="19"/>
  </w:num>
  <w:num w:numId="22" w16cid:durableId="1635016488">
    <w:abstractNumId w:val="22"/>
  </w:num>
  <w:num w:numId="23" w16cid:durableId="879124288">
    <w:abstractNumId w:val="17"/>
  </w:num>
  <w:num w:numId="24" w16cid:durableId="753431850">
    <w:abstractNumId w:val="2"/>
  </w:num>
  <w:num w:numId="25" w16cid:durableId="43481659">
    <w:abstractNumId w:val="24"/>
  </w:num>
  <w:num w:numId="26" w16cid:durableId="27166529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B11"/>
    <w:rsid w:val="00026B11"/>
    <w:rsid w:val="000271D8"/>
    <w:rsid w:val="0003214E"/>
    <w:rsid w:val="000564AA"/>
    <w:rsid w:val="000902C6"/>
    <w:rsid w:val="000F15F6"/>
    <w:rsid w:val="000F2596"/>
    <w:rsid w:val="00157112"/>
    <w:rsid w:val="00170256"/>
    <w:rsid w:val="00177B0F"/>
    <w:rsid w:val="00192725"/>
    <w:rsid w:val="001B148A"/>
    <w:rsid w:val="001E32D1"/>
    <w:rsid w:val="001F08AD"/>
    <w:rsid w:val="00214790"/>
    <w:rsid w:val="00251836"/>
    <w:rsid w:val="00256105"/>
    <w:rsid w:val="002A44A5"/>
    <w:rsid w:val="002B2191"/>
    <w:rsid w:val="002D4BBA"/>
    <w:rsid w:val="00337B60"/>
    <w:rsid w:val="003721DC"/>
    <w:rsid w:val="00386765"/>
    <w:rsid w:val="003B4923"/>
    <w:rsid w:val="003B70DC"/>
    <w:rsid w:val="003D0DA5"/>
    <w:rsid w:val="00442A81"/>
    <w:rsid w:val="00444033"/>
    <w:rsid w:val="0046464F"/>
    <w:rsid w:val="00465DBF"/>
    <w:rsid w:val="00491CA8"/>
    <w:rsid w:val="00497AE7"/>
    <w:rsid w:val="004B6FE9"/>
    <w:rsid w:val="004E3771"/>
    <w:rsid w:val="00506C08"/>
    <w:rsid w:val="00517F7A"/>
    <w:rsid w:val="00547D80"/>
    <w:rsid w:val="005562DD"/>
    <w:rsid w:val="005631C8"/>
    <w:rsid w:val="00584152"/>
    <w:rsid w:val="00597CC8"/>
    <w:rsid w:val="005C51A0"/>
    <w:rsid w:val="005D1266"/>
    <w:rsid w:val="005D7B6F"/>
    <w:rsid w:val="005E472F"/>
    <w:rsid w:val="005E56A3"/>
    <w:rsid w:val="00627A3C"/>
    <w:rsid w:val="00640E69"/>
    <w:rsid w:val="00671CCF"/>
    <w:rsid w:val="00680D38"/>
    <w:rsid w:val="00691B4D"/>
    <w:rsid w:val="006D0479"/>
    <w:rsid w:val="00741886"/>
    <w:rsid w:val="00747A1C"/>
    <w:rsid w:val="007579C4"/>
    <w:rsid w:val="00770A2A"/>
    <w:rsid w:val="00790E3C"/>
    <w:rsid w:val="00797361"/>
    <w:rsid w:val="007B06E4"/>
    <w:rsid w:val="007C300E"/>
    <w:rsid w:val="007C6BA2"/>
    <w:rsid w:val="0082267A"/>
    <w:rsid w:val="0084044F"/>
    <w:rsid w:val="008504A4"/>
    <w:rsid w:val="008716BC"/>
    <w:rsid w:val="008741FF"/>
    <w:rsid w:val="00877DE6"/>
    <w:rsid w:val="00883154"/>
    <w:rsid w:val="008C5E31"/>
    <w:rsid w:val="008D4F45"/>
    <w:rsid w:val="008D5EAB"/>
    <w:rsid w:val="008E3872"/>
    <w:rsid w:val="008E74B5"/>
    <w:rsid w:val="00922295"/>
    <w:rsid w:val="00931A6E"/>
    <w:rsid w:val="00951000"/>
    <w:rsid w:val="00984077"/>
    <w:rsid w:val="009A00CC"/>
    <w:rsid w:val="009B51B8"/>
    <w:rsid w:val="009B5FB9"/>
    <w:rsid w:val="009B65DD"/>
    <w:rsid w:val="009E0E3F"/>
    <w:rsid w:val="009E50E1"/>
    <w:rsid w:val="00A13FA7"/>
    <w:rsid w:val="00AB3E21"/>
    <w:rsid w:val="00AC2A42"/>
    <w:rsid w:val="00B26E81"/>
    <w:rsid w:val="00B43F26"/>
    <w:rsid w:val="00B814E1"/>
    <w:rsid w:val="00B82872"/>
    <w:rsid w:val="00BD3F03"/>
    <w:rsid w:val="00BE4513"/>
    <w:rsid w:val="00C0119D"/>
    <w:rsid w:val="00C14DD2"/>
    <w:rsid w:val="00C239DA"/>
    <w:rsid w:val="00C51751"/>
    <w:rsid w:val="00C639F1"/>
    <w:rsid w:val="00C72F47"/>
    <w:rsid w:val="00C872A7"/>
    <w:rsid w:val="00C9347A"/>
    <w:rsid w:val="00C9622E"/>
    <w:rsid w:val="00C9678A"/>
    <w:rsid w:val="00CC2416"/>
    <w:rsid w:val="00D21966"/>
    <w:rsid w:val="00D35E90"/>
    <w:rsid w:val="00D41002"/>
    <w:rsid w:val="00D9243D"/>
    <w:rsid w:val="00DB5E0D"/>
    <w:rsid w:val="00DE5A7D"/>
    <w:rsid w:val="00DE651F"/>
    <w:rsid w:val="00DF1B1A"/>
    <w:rsid w:val="00DF720B"/>
    <w:rsid w:val="00E0684C"/>
    <w:rsid w:val="00E2153D"/>
    <w:rsid w:val="00E42DAC"/>
    <w:rsid w:val="00E555BF"/>
    <w:rsid w:val="00EA7BC2"/>
    <w:rsid w:val="00EB1197"/>
    <w:rsid w:val="00EC365F"/>
    <w:rsid w:val="00EF46E6"/>
    <w:rsid w:val="00F057BB"/>
    <w:rsid w:val="00F15552"/>
    <w:rsid w:val="00F17665"/>
    <w:rsid w:val="00F17FC4"/>
    <w:rsid w:val="00F91FE7"/>
    <w:rsid w:val="00F97320"/>
    <w:rsid w:val="00FC7BF4"/>
    <w:rsid w:val="00FE6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o:shapedefaults>
    <o:shapelayout v:ext="edit">
      <o:idmap v:ext="edit" data="2"/>
    </o:shapelayout>
  </w:shapeDefaults>
  <w:decimalSymbol w:val="."/>
  <w:listSeparator w:val=","/>
  <w14:docId w14:val="3DD05E7B"/>
  <w15:docId w15:val="{52D38AC7-624B-48C3-8211-C3E063607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0321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214E"/>
  </w:style>
  <w:style w:type="paragraph" w:styleId="Footer">
    <w:name w:val="footer"/>
    <w:basedOn w:val="Normal"/>
    <w:link w:val="FooterChar"/>
    <w:uiPriority w:val="99"/>
    <w:unhideWhenUsed/>
    <w:rsid w:val="000321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214E"/>
  </w:style>
  <w:style w:type="character" w:styleId="PlaceholderText">
    <w:name w:val="Placeholder Text"/>
    <w:basedOn w:val="DefaultParagraphFont"/>
    <w:uiPriority w:val="99"/>
    <w:semiHidden/>
    <w:rsid w:val="00C9622E"/>
    <w:rPr>
      <w:color w:val="808080"/>
    </w:rPr>
  </w:style>
  <w:style w:type="paragraph" w:styleId="ListParagraph">
    <w:name w:val="List Paragraph"/>
    <w:basedOn w:val="Normal"/>
    <w:uiPriority w:val="34"/>
    <w:qFormat/>
    <w:rsid w:val="008716BC"/>
    <w:pPr>
      <w:ind w:left="720"/>
      <w:contextualSpacing/>
    </w:pPr>
  </w:style>
  <w:style w:type="character" w:styleId="Hyperlink">
    <w:name w:val="Hyperlink"/>
    <w:basedOn w:val="DefaultParagraphFont"/>
    <w:uiPriority w:val="99"/>
    <w:unhideWhenUsed/>
    <w:rsid w:val="008C5E31"/>
    <w:rPr>
      <w:color w:val="0563C1" w:themeColor="hyperlink"/>
      <w:u w:val="single"/>
    </w:rPr>
  </w:style>
  <w:style w:type="paragraph" w:styleId="Revision">
    <w:name w:val="Revision"/>
    <w:hidden/>
    <w:uiPriority w:val="99"/>
    <w:semiHidden/>
    <w:rsid w:val="005D1266"/>
    <w:pPr>
      <w:spacing w:after="0" w:line="240" w:lineRule="auto"/>
    </w:pPr>
  </w:style>
  <w:style w:type="paragraph" w:styleId="CommentSubject">
    <w:name w:val="annotation subject"/>
    <w:basedOn w:val="CommentText"/>
    <w:next w:val="CommentText"/>
    <w:link w:val="CommentSubjectChar"/>
    <w:uiPriority w:val="99"/>
    <w:semiHidden/>
    <w:unhideWhenUsed/>
    <w:rsid w:val="008D5EAB"/>
    <w:rPr>
      <w:b/>
      <w:bCs/>
    </w:rPr>
  </w:style>
  <w:style w:type="character" w:customStyle="1" w:styleId="CommentSubjectChar">
    <w:name w:val="Comment Subject Char"/>
    <w:basedOn w:val="CommentTextChar"/>
    <w:link w:val="CommentSubject"/>
    <w:uiPriority w:val="99"/>
    <w:semiHidden/>
    <w:rsid w:val="008D5EAB"/>
    <w:rPr>
      <w:b/>
      <w:bCs/>
      <w:sz w:val="20"/>
      <w:szCs w:val="20"/>
    </w:rPr>
  </w:style>
  <w:style w:type="character" w:styleId="FollowedHyperlink">
    <w:name w:val="FollowedHyperlink"/>
    <w:basedOn w:val="DefaultParagraphFont"/>
    <w:uiPriority w:val="99"/>
    <w:semiHidden/>
    <w:unhideWhenUsed/>
    <w:rsid w:val="005562DD"/>
    <w:rPr>
      <w:color w:val="954F72" w:themeColor="followedHyperlink"/>
      <w:u w:val="single"/>
    </w:rPr>
  </w:style>
  <w:style w:type="character" w:styleId="UnresolvedMention">
    <w:name w:val="Unresolved Mention"/>
    <w:basedOn w:val="DefaultParagraphFont"/>
    <w:uiPriority w:val="99"/>
    <w:semiHidden/>
    <w:unhideWhenUsed/>
    <w:rsid w:val="002A44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sa.gov/policy-regulations/policy/federal-advisory-committee-managemen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adatabase.gov/FACA/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regulations.gov/document/GSA-FMR-2022-0015-0010" TargetMode="External"/><Relationship Id="rId4" Type="http://schemas.openxmlformats.org/officeDocument/2006/relationships/settings" Target="settings.xml"/><Relationship Id="rId9" Type="http://schemas.openxmlformats.org/officeDocument/2006/relationships/hyperlink" Target="https://uscode.house.gov/view.xhtml?path=/prelim@title5/part1/chapter10&amp;edition=prelim" TargetMode="External"/><Relationship Id="rId14" Type="http://schemas.openxmlformats.org/officeDocument/2006/relationships/hyperlink" Target="mailto:cms@gsa.go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8B789-4668-4E6C-9A37-F6175952D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1912</Words>
  <Characters>10900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General Services Administration</Company>
  <LinksUpToDate>false</LinksUpToDate>
  <CharactersWithSpaces>12787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TaraTDunlopJackson</dc:creator>
  <cp:keywords/>
  <dc:description/>
  <cp:lastModifiedBy>TaraTDunlopJackson</cp:lastModifiedBy>
  <cp:revision>5</cp:revision>
  <dcterms:created xsi:type="dcterms:W3CDTF">2024-10-30T14:30:00Z</dcterms:created>
  <dcterms:modified xsi:type="dcterms:W3CDTF">2024-10-30T14:36:00Z</dcterms:modified>
</cp:coreProperties>
</file>